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4CE" w:rsidRPr="009A48A9" w:rsidRDefault="009A48A9" w:rsidP="009A48A9">
      <w:pPr>
        <w:jc w:val="center"/>
        <w:rPr>
          <w:b/>
          <w:sz w:val="24"/>
          <w:szCs w:val="24"/>
        </w:rPr>
      </w:pPr>
      <w:proofErr w:type="spellStart"/>
      <w:r w:rsidRPr="009A48A9">
        <w:rPr>
          <w:b/>
          <w:sz w:val="24"/>
          <w:szCs w:val="24"/>
        </w:rPr>
        <w:t>Conditionaliatăți</w:t>
      </w:r>
      <w:proofErr w:type="spellEnd"/>
      <w:r w:rsidRPr="009A48A9">
        <w:rPr>
          <w:b/>
          <w:sz w:val="24"/>
          <w:szCs w:val="24"/>
        </w:rPr>
        <w:t xml:space="preserve"> </w:t>
      </w:r>
      <w:proofErr w:type="spellStart"/>
      <w:r w:rsidRPr="009A48A9">
        <w:rPr>
          <w:b/>
          <w:sz w:val="24"/>
          <w:szCs w:val="24"/>
        </w:rPr>
        <w:t>exante</w:t>
      </w:r>
      <w:proofErr w:type="spellEnd"/>
      <w:r w:rsidRPr="009A48A9">
        <w:rPr>
          <w:b/>
          <w:sz w:val="24"/>
          <w:szCs w:val="24"/>
        </w:rPr>
        <w:t xml:space="preserve"> - Fise de monitorizare/instituții</w:t>
      </w:r>
    </w:p>
    <w:p w:rsidR="009A48A9" w:rsidRPr="00605E8F" w:rsidRDefault="009A48A9" w:rsidP="009A48A9">
      <w:pPr>
        <w:pStyle w:val="ListParagraph"/>
        <w:tabs>
          <w:tab w:val="left" w:pos="0"/>
        </w:tabs>
        <w:ind w:left="426" w:right="34"/>
        <w:rPr>
          <w:sz w:val="28"/>
          <w:szCs w:val="28"/>
          <w:lang w:val="fr-FR"/>
        </w:rPr>
      </w:pPr>
    </w:p>
    <w:tbl>
      <w:tblPr>
        <w:tblStyle w:val="TableGrid"/>
        <w:tblW w:w="15559" w:type="dxa"/>
        <w:tblLook w:val="04A0" w:firstRow="1" w:lastRow="0" w:firstColumn="1" w:lastColumn="0" w:noHBand="0" w:noVBand="1"/>
      </w:tblPr>
      <w:tblGrid>
        <w:gridCol w:w="534"/>
        <w:gridCol w:w="3827"/>
        <w:gridCol w:w="6379"/>
        <w:gridCol w:w="4819"/>
      </w:tblGrid>
      <w:tr w:rsidR="009A48A9" w:rsidRPr="00CE0A0A" w:rsidTr="003C294B">
        <w:trPr>
          <w:tblHeader/>
        </w:trPr>
        <w:tc>
          <w:tcPr>
            <w:tcW w:w="534" w:type="dxa"/>
            <w:vAlign w:val="center"/>
          </w:tcPr>
          <w:p w:rsidR="009A48A9" w:rsidRPr="009A48A9" w:rsidRDefault="009A48A9" w:rsidP="009A48A9">
            <w:pPr>
              <w:ind w:left="360"/>
              <w:jc w:val="center"/>
              <w:rPr>
                <w:sz w:val="20"/>
                <w:szCs w:val="20"/>
              </w:rPr>
            </w:pPr>
          </w:p>
        </w:tc>
        <w:tc>
          <w:tcPr>
            <w:tcW w:w="3827" w:type="dxa"/>
            <w:vAlign w:val="center"/>
          </w:tcPr>
          <w:p w:rsidR="009A48A9" w:rsidRPr="003C294B" w:rsidRDefault="009A48A9" w:rsidP="00AC594C">
            <w:pPr>
              <w:jc w:val="center"/>
              <w:rPr>
                <w:b/>
                <w:sz w:val="18"/>
                <w:szCs w:val="18"/>
              </w:rPr>
            </w:pPr>
            <w:r w:rsidRPr="003C294B">
              <w:rPr>
                <w:b/>
                <w:sz w:val="18"/>
                <w:szCs w:val="18"/>
              </w:rPr>
              <w:t>Instituție</w:t>
            </w:r>
          </w:p>
        </w:tc>
        <w:tc>
          <w:tcPr>
            <w:tcW w:w="6379" w:type="dxa"/>
            <w:vAlign w:val="center"/>
          </w:tcPr>
          <w:p w:rsidR="009A48A9" w:rsidRPr="003C294B" w:rsidRDefault="009A48A9" w:rsidP="00AC594C">
            <w:pPr>
              <w:jc w:val="center"/>
              <w:rPr>
                <w:b/>
                <w:sz w:val="18"/>
                <w:szCs w:val="18"/>
              </w:rPr>
            </w:pPr>
            <w:r w:rsidRPr="003C294B">
              <w:rPr>
                <w:b/>
                <w:sz w:val="18"/>
                <w:szCs w:val="18"/>
              </w:rPr>
              <w:t>Condiționalitate tematică</w:t>
            </w:r>
          </w:p>
        </w:tc>
        <w:tc>
          <w:tcPr>
            <w:tcW w:w="4819" w:type="dxa"/>
            <w:vAlign w:val="center"/>
          </w:tcPr>
          <w:p w:rsidR="009A48A9" w:rsidRPr="003C294B" w:rsidRDefault="009A48A9" w:rsidP="00AC594C">
            <w:pPr>
              <w:jc w:val="center"/>
              <w:rPr>
                <w:b/>
                <w:sz w:val="18"/>
                <w:szCs w:val="18"/>
              </w:rPr>
            </w:pPr>
            <w:r w:rsidRPr="003C294B">
              <w:rPr>
                <w:b/>
                <w:sz w:val="18"/>
                <w:szCs w:val="18"/>
              </w:rPr>
              <w:t>Condiționalitate orizontală  - Achiziții publice – acțiuni asumate -</w:t>
            </w:r>
          </w:p>
        </w:tc>
      </w:tr>
      <w:tr w:rsidR="009A48A9" w:rsidTr="003C294B">
        <w:tc>
          <w:tcPr>
            <w:tcW w:w="534" w:type="dxa"/>
            <w:vMerge w:val="restart"/>
            <w:vAlign w:val="center"/>
          </w:tcPr>
          <w:p w:rsidR="009A48A9" w:rsidRPr="00490C5C" w:rsidRDefault="009A48A9" w:rsidP="009A48A9">
            <w:pPr>
              <w:pStyle w:val="ListParagraph"/>
              <w:numPr>
                <w:ilvl w:val="0"/>
                <w:numId w:val="8"/>
              </w:numPr>
              <w:tabs>
                <w:tab w:val="left" w:pos="0"/>
              </w:tabs>
              <w:ind w:left="426" w:right="34" w:hanging="284"/>
            </w:pPr>
          </w:p>
        </w:tc>
        <w:tc>
          <w:tcPr>
            <w:tcW w:w="3827" w:type="dxa"/>
            <w:vMerge w:val="restart"/>
            <w:vAlign w:val="center"/>
          </w:tcPr>
          <w:p w:rsidR="009A48A9" w:rsidRDefault="009A48A9" w:rsidP="00AC594C">
            <w:r w:rsidRPr="00490C5C">
              <w:t xml:space="preserve">Ministerul Educaţiei Naţionale şi Cercetării Ştiinţifice - </w:t>
            </w:r>
            <w:r w:rsidRPr="00490C5C">
              <w:rPr>
                <w:b/>
              </w:rPr>
              <w:t>Autoritatea Națională pentru Cercetare Științifică și Inovare</w:t>
            </w:r>
          </w:p>
        </w:tc>
        <w:tc>
          <w:tcPr>
            <w:tcW w:w="6379" w:type="dxa"/>
            <w:vAlign w:val="center"/>
          </w:tcPr>
          <w:p w:rsidR="009A48A9" w:rsidRPr="00947E1E" w:rsidRDefault="009A48A9" w:rsidP="001C4390">
            <w:pPr>
              <w:spacing w:beforeLines="20" w:before="48" w:afterLines="20" w:after="48"/>
              <w:rPr>
                <w:sz w:val="18"/>
                <w:szCs w:val="18"/>
              </w:rPr>
            </w:pPr>
            <w:r>
              <w:rPr>
                <w:b/>
                <w:sz w:val="18"/>
                <w:szCs w:val="18"/>
              </w:rPr>
              <w:t>1.1</w:t>
            </w:r>
            <w:r w:rsidRPr="006301EF">
              <w:rPr>
                <w:b/>
                <w:sz w:val="18"/>
                <w:szCs w:val="18"/>
              </w:rPr>
              <w:t xml:space="preserve"> Cercetare și inovare</w:t>
            </w:r>
            <w:r w:rsidRPr="006301EF">
              <w:rPr>
                <w:sz w:val="18"/>
                <w:szCs w:val="18"/>
              </w:rPr>
              <w:t>: Existența unei strategii naționale sau regionale de specializare inteligentă, în conformitate cu programul național de reformă, care să echilibreze cheltuielile private cu cercetarea și inovarea și care să fie conformă cu caracteristicile sistemelor naționale sau regionale eficiente în domeniul cercetării și al inovării.</w:t>
            </w:r>
          </w:p>
        </w:tc>
        <w:tc>
          <w:tcPr>
            <w:tcW w:w="4819" w:type="dxa"/>
            <w:vAlign w:val="center"/>
          </w:tcPr>
          <w:p w:rsidR="009A48A9" w:rsidRDefault="009A48A9" w:rsidP="00AC594C"/>
        </w:tc>
      </w:tr>
      <w:tr w:rsidR="009A48A9" w:rsidTr="003C294B">
        <w:tc>
          <w:tcPr>
            <w:tcW w:w="534" w:type="dxa"/>
            <w:vMerge/>
            <w:vAlign w:val="center"/>
          </w:tcPr>
          <w:p w:rsidR="009A48A9" w:rsidRPr="00605E8F" w:rsidRDefault="009A48A9" w:rsidP="009A48A9">
            <w:pPr>
              <w:pStyle w:val="ListParagraph"/>
              <w:numPr>
                <w:ilvl w:val="0"/>
                <w:numId w:val="8"/>
              </w:numPr>
              <w:ind w:left="426" w:hanging="284"/>
              <w:rPr>
                <w:lang w:val="ro-RO"/>
              </w:rPr>
            </w:pPr>
          </w:p>
        </w:tc>
        <w:tc>
          <w:tcPr>
            <w:tcW w:w="3827" w:type="dxa"/>
            <w:vMerge/>
            <w:vAlign w:val="center"/>
          </w:tcPr>
          <w:p w:rsidR="009A48A9" w:rsidRPr="00490C5C" w:rsidRDefault="009A48A9" w:rsidP="00AC594C"/>
        </w:tc>
        <w:tc>
          <w:tcPr>
            <w:tcW w:w="6379" w:type="dxa"/>
            <w:vAlign w:val="center"/>
          </w:tcPr>
          <w:p w:rsidR="009A48A9" w:rsidRPr="0063491A" w:rsidRDefault="009A48A9" w:rsidP="00AC594C">
            <w:pPr>
              <w:spacing w:beforeLines="20" w:before="48" w:afterLines="20" w:after="48"/>
              <w:rPr>
                <w:b/>
                <w:sz w:val="18"/>
                <w:szCs w:val="18"/>
              </w:rPr>
            </w:pPr>
            <w:r w:rsidRPr="0063491A">
              <w:rPr>
                <w:b/>
                <w:sz w:val="18"/>
                <w:szCs w:val="18"/>
              </w:rPr>
              <w:t xml:space="preserve">1.2 Infrastructura de cercetare și inovare Existența unui plan multianual pentru înscrierea în buget și </w:t>
            </w:r>
            <w:proofErr w:type="spellStart"/>
            <w:r w:rsidRPr="0063491A">
              <w:rPr>
                <w:b/>
                <w:sz w:val="18"/>
                <w:szCs w:val="18"/>
              </w:rPr>
              <w:t>prioritizarea</w:t>
            </w:r>
            <w:proofErr w:type="spellEnd"/>
            <w:r w:rsidRPr="0063491A">
              <w:rPr>
                <w:b/>
                <w:sz w:val="18"/>
                <w:szCs w:val="18"/>
              </w:rPr>
              <w:t xml:space="preserve"> investițiilor.</w:t>
            </w:r>
          </w:p>
        </w:tc>
        <w:tc>
          <w:tcPr>
            <w:tcW w:w="4819" w:type="dxa"/>
            <w:vAlign w:val="center"/>
          </w:tcPr>
          <w:p w:rsidR="009A48A9" w:rsidRDefault="009A48A9" w:rsidP="00AC594C"/>
        </w:tc>
      </w:tr>
      <w:tr w:rsidR="003C294B" w:rsidTr="003C294B">
        <w:tc>
          <w:tcPr>
            <w:tcW w:w="534" w:type="dxa"/>
            <w:vMerge w:val="restart"/>
            <w:vAlign w:val="center"/>
          </w:tcPr>
          <w:p w:rsidR="003C294B" w:rsidRPr="00605E8F" w:rsidRDefault="003C294B" w:rsidP="009A48A9">
            <w:pPr>
              <w:pStyle w:val="ListParagraph"/>
              <w:numPr>
                <w:ilvl w:val="0"/>
                <w:numId w:val="8"/>
              </w:numPr>
              <w:tabs>
                <w:tab w:val="left" w:pos="0"/>
              </w:tabs>
              <w:ind w:left="426" w:right="34" w:hanging="284"/>
              <w:rPr>
                <w:b/>
                <w:lang w:val="fr-FR"/>
              </w:rPr>
            </w:pPr>
          </w:p>
        </w:tc>
        <w:tc>
          <w:tcPr>
            <w:tcW w:w="3827" w:type="dxa"/>
            <w:vMerge w:val="restart"/>
            <w:vAlign w:val="center"/>
          </w:tcPr>
          <w:p w:rsidR="003C294B" w:rsidRPr="00A12A77" w:rsidRDefault="003C294B" w:rsidP="00A12A77">
            <w:pPr>
              <w:jc w:val="left"/>
              <w:rPr>
                <w:b/>
              </w:rPr>
            </w:pPr>
            <w:r w:rsidRPr="00A12A77">
              <w:rPr>
                <w:b/>
              </w:rPr>
              <w:t xml:space="preserve">Ministerul Muncii, Familiei, Protecţiei Sociale şi Persoanelor Vârstnice </w:t>
            </w:r>
            <w:r>
              <w:rPr>
                <w:b/>
              </w:rPr>
              <w:t>și</w:t>
            </w:r>
          </w:p>
          <w:p w:rsidR="003C294B" w:rsidRPr="00AC594C" w:rsidRDefault="003C294B" w:rsidP="00A12A77">
            <w:pPr>
              <w:jc w:val="left"/>
              <w:rPr>
                <w:b/>
              </w:rPr>
            </w:pPr>
            <w:r w:rsidRPr="00A12A77">
              <w:rPr>
                <w:b/>
              </w:rPr>
              <w:t>Agenția Națională pentru Ocuparea Forței de Muncă</w:t>
            </w:r>
          </w:p>
        </w:tc>
        <w:tc>
          <w:tcPr>
            <w:tcW w:w="6379" w:type="dxa"/>
            <w:vAlign w:val="center"/>
          </w:tcPr>
          <w:p w:rsidR="003C294B" w:rsidRDefault="003C294B" w:rsidP="00AC594C">
            <w:pPr>
              <w:spacing w:beforeLines="20" w:before="48" w:afterLines="20" w:after="48"/>
              <w:rPr>
                <w:b/>
                <w:sz w:val="18"/>
                <w:szCs w:val="18"/>
              </w:rPr>
            </w:pPr>
            <w:r w:rsidRPr="00A12A77">
              <w:rPr>
                <w:b/>
                <w:sz w:val="18"/>
                <w:szCs w:val="18"/>
              </w:rPr>
              <w:t>8.1. Politicile active în domeniul pieței forței de muncă sunt concepute și aplicate prin prisma orientărilor privind ocuparea forței de muncă.</w:t>
            </w:r>
          </w:p>
        </w:tc>
        <w:tc>
          <w:tcPr>
            <w:tcW w:w="4819" w:type="dxa"/>
            <w:vAlign w:val="center"/>
          </w:tcPr>
          <w:p w:rsidR="003C294B" w:rsidRDefault="003C294B" w:rsidP="00AC594C">
            <w:pPr>
              <w:rPr>
                <w:b/>
                <w:sz w:val="18"/>
                <w:szCs w:val="18"/>
              </w:rPr>
            </w:pPr>
          </w:p>
        </w:tc>
      </w:tr>
      <w:tr w:rsidR="003C294B" w:rsidTr="003C294B">
        <w:tc>
          <w:tcPr>
            <w:tcW w:w="534" w:type="dxa"/>
            <w:vMerge/>
            <w:vAlign w:val="center"/>
          </w:tcPr>
          <w:p w:rsidR="003C294B" w:rsidRPr="00605E8F" w:rsidRDefault="003C294B" w:rsidP="009A48A9">
            <w:pPr>
              <w:pStyle w:val="ListParagraph"/>
              <w:numPr>
                <w:ilvl w:val="0"/>
                <w:numId w:val="8"/>
              </w:numPr>
              <w:ind w:left="426" w:hanging="284"/>
              <w:rPr>
                <w:b/>
                <w:lang w:val="fr-FR"/>
              </w:rPr>
            </w:pPr>
          </w:p>
        </w:tc>
        <w:tc>
          <w:tcPr>
            <w:tcW w:w="3827" w:type="dxa"/>
            <w:vMerge/>
            <w:vAlign w:val="center"/>
          </w:tcPr>
          <w:p w:rsidR="003C294B" w:rsidRPr="00AC594C" w:rsidRDefault="003C294B" w:rsidP="00AC594C">
            <w:pPr>
              <w:jc w:val="left"/>
              <w:rPr>
                <w:b/>
              </w:rPr>
            </w:pPr>
          </w:p>
        </w:tc>
        <w:tc>
          <w:tcPr>
            <w:tcW w:w="6379" w:type="dxa"/>
            <w:vAlign w:val="center"/>
          </w:tcPr>
          <w:p w:rsidR="003C294B" w:rsidRDefault="003C294B" w:rsidP="00AC594C">
            <w:pPr>
              <w:spacing w:beforeLines="20" w:before="48" w:afterLines="20" w:after="48"/>
              <w:rPr>
                <w:b/>
                <w:sz w:val="18"/>
                <w:szCs w:val="18"/>
              </w:rPr>
            </w:pPr>
            <w:r w:rsidRPr="00A12A77">
              <w:rPr>
                <w:b/>
                <w:sz w:val="18"/>
                <w:szCs w:val="18"/>
              </w:rPr>
              <w:t>8.3. 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4819" w:type="dxa"/>
            <w:vAlign w:val="center"/>
          </w:tcPr>
          <w:p w:rsidR="003C294B" w:rsidRDefault="003C294B" w:rsidP="00AC594C">
            <w:pPr>
              <w:rPr>
                <w:b/>
                <w:sz w:val="18"/>
                <w:szCs w:val="18"/>
              </w:rPr>
            </w:pPr>
          </w:p>
        </w:tc>
      </w:tr>
      <w:tr w:rsidR="003C294B" w:rsidTr="003C294B">
        <w:trPr>
          <w:trHeight w:val="909"/>
        </w:trPr>
        <w:tc>
          <w:tcPr>
            <w:tcW w:w="534" w:type="dxa"/>
            <w:vMerge/>
            <w:vAlign w:val="center"/>
          </w:tcPr>
          <w:p w:rsidR="003C294B" w:rsidRPr="00605E8F" w:rsidRDefault="003C294B" w:rsidP="009A48A9">
            <w:pPr>
              <w:pStyle w:val="ListParagraph"/>
              <w:numPr>
                <w:ilvl w:val="0"/>
                <w:numId w:val="8"/>
              </w:numPr>
              <w:ind w:left="426" w:hanging="284"/>
              <w:rPr>
                <w:b/>
                <w:lang w:val="fr-FR"/>
              </w:rPr>
            </w:pPr>
          </w:p>
        </w:tc>
        <w:tc>
          <w:tcPr>
            <w:tcW w:w="3827" w:type="dxa"/>
            <w:vMerge/>
            <w:vAlign w:val="center"/>
          </w:tcPr>
          <w:p w:rsidR="003C294B" w:rsidRPr="00AC594C" w:rsidRDefault="003C294B" w:rsidP="00AC594C">
            <w:pPr>
              <w:jc w:val="left"/>
              <w:rPr>
                <w:b/>
              </w:rPr>
            </w:pPr>
          </w:p>
        </w:tc>
        <w:tc>
          <w:tcPr>
            <w:tcW w:w="6379" w:type="dxa"/>
            <w:vAlign w:val="center"/>
          </w:tcPr>
          <w:p w:rsidR="003C294B" w:rsidRPr="00A12A77" w:rsidRDefault="003C294B" w:rsidP="00A12A77">
            <w:pPr>
              <w:spacing w:beforeLines="20" w:before="48" w:afterLines="20" w:after="48"/>
              <w:rPr>
                <w:b/>
                <w:sz w:val="18"/>
                <w:szCs w:val="18"/>
              </w:rPr>
            </w:pPr>
            <w:r w:rsidRPr="00A12A77">
              <w:rPr>
                <w:b/>
                <w:sz w:val="18"/>
                <w:szCs w:val="18"/>
              </w:rPr>
              <w:t xml:space="preserve">8.6. Existența unui cadru politic strategic pentru promovarea ocupării forței de muncă în rândul tinerilor, inclusiv prin executarea garanției pentru tineret. </w:t>
            </w:r>
          </w:p>
          <w:p w:rsidR="003C294B" w:rsidRDefault="003C294B" w:rsidP="00A12A77">
            <w:pPr>
              <w:spacing w:beforeLines="20" w:before="48" w:afterLines="20" w:after="48"/>
              <w:rPr>
                <w:b/>
                <w:sz w:val="18"/>
                <w:szCs w:val="18"/>
              </w:rPr>
            </w:pPr>
            <w:r w:rsidRPr="00A12A77">
              <w:rPr>
                <w:b/>
                <w:sz w:val="18"/>
                <w:szCs w:val="18"/>
              </w:rPr>
              <w:t xml:space="preserve">Această condiționalitate ex ante se aplică doar pentru aplicarea YEI </w:t>
            </w:r>
          </w:p>
        </w:tc>
        <w:tc>
          <w:tcPr>
            <w:tcW w:w="4819" w:type="dxa"/>
            <w:vAlign w:val="center"/>
          </w:tcPr>
          <w:p w:rsidR="003C294B" w:rsidRDefault="003C294B" w:rsidP="00AC594C">
            <w:pPr>
              <w:rPr>
                <w:b/>
                <w:sz w:val="18"/>
                <w:szCs w:val="18"/>
              </w:rPr>
            </w:pPr>
          </w:p>
        </w:tc>
      </w:tr>
      <w:tr w:rsidR="003C294B" w:rsidTr="003C294B">
        <w:trPr>
          <w:trHeight w:val="652"/>
        </w:trPr>
        <w:tc>
          <w:tcPr>
            <w:tcW w:w="534" w:type="dxa"/>
            <w:vMerge/>
            <w:vAlign w:val="center"/>
          </w:tcPr>
          <w:p w:rsidR="003C294B" w:rsidRPr="00605E8F" w:rsidRDefault="003C294B" w:rsidP="009A48A9">
            <w:pPr>
              <w:pStyle w:val="ListParagraph"/>
              <w:numPr>
                <w:ilvl w:val="0"/>
                <w:numId w:val="8"/>
              </w:numPr>
              <w:ind w:left="426" w:hanging="284"/>
              <w:rPr>
                <w:b/>
                <w:lang w:val="fr-FR"/>
              </w:rPr>
            </w:pPr>
          </w:p>
        </w:tc>
        <w:tc>
          <w:tcPr>
            <w:tcW w:w="3827" w:type="dxa"/>
            <w:vAlign w:val="center"/>
          </w:tcPr>
          <w:p w:rsidR="003C294B" w:rsidRPr="00AC594C" w:rsidRDefault="003C294B" w:rsidP="00AC594C">
            <w:pPr>
              <w:jc w:val="left"/>
              <w:rPr>
                <w:b/>
              </w:rPr>
            </w:pPr>
            <w:r w:rsidRPr="00A12A77">
              <w:rPr>
                <w:b/>
              </w:rPr>
              <w:t>Ministerul Muncii, Familiei, Protecţiei Sociale şi Persoanelor Vârstnice</w:t>
            </w:r>
          </w:p>
        </w:tc>
        <w:tc>
          <w:tcPr>
            <w:tcW w:w="6379" w:type="dxa"/>
            <w:vAlign w:val="center"/>
          </w:tcPr>
          <w:p w:rsidR="003C294B" w:rsidRDefault="003C294B" w:rsidP="00A12A77">
            <w:pPr>
              <w:spacing w:beforeLines="20" w:before="48" w:afterLines="20" w:after="48"/>
              <w:rPr>
                <w:b/>
                <w:sz w:val="18"/>
                <w:szCs w:val="18"/>
              </w:rPr>
            </w:pPr>
            <w:r w:rsidRPr="00A12A77">
              <w:rPr>
                <w:b/>
                <w:sz w:val="18"/>
                <w:szCs w:val="18"/>
              </w:rPr>
              <w:t>8.4. Îmbătrânire activă și în condiții bune de sănătate: Politicile de îmbătrânire activă sunt concepute în lumina Orientărilor privind ocuparea forței de muncă</w:t>
            </w:r>
          </w:p>
        </w:tc>
        <w:tc>
          <w:tcPr>
            <w:tcW w:w="4819" w:type="dxa"/>
            <w:vAlign w:val="center"/>
          </w:tcPr>
          <w:p w:rsidR="003C294B" w:rsidRDefault="003C294B" w:rsidP="00AC594C">
            <w:pPr>
              <w:rPr>
                <w:b/>
                <w:sz w:val="18"/>
                <w:szCs w:val="18"/>
              </w:rPr>
            </w:pPr>
          </w:p>
        </w:tc>
      </w:tr>
      <w:tr w:rsidR="009A48A9" w:rsidTr="003C294B">
        <w:tc>
          <w:tcPr>
            <w:tcW w:w="534" w:type="dxa"/>
            <w:vAlign w:val="center"/>
          </w:tcPr>
          <w:p w:rsidR="009A48A9" w:rsidRPr="00605E8F" w:rsidRDefault="009A48A9" w:rsidP="009A48A9">
            <w:pPr>
              <w:pStyle w:val="ListParagraph"/>
              <w:numPr>
                <w:ilvl w:val="0"/>
                <w:numId w:val="8"/>
              </w:numPr>
              <w:ind w:left="426" w:hanging="284"/>
              <w:rPr>
                <w:b/>
                <w:lang w:val="ro-RO"/>
              </w:rPr>
            </w:pPr>
          </w:p>
        </w:tc>
        <w:tc>
          <w:tcPr>
            <w:tcW w:w="3827" w:type="dxa"/>
            <w:vAlign w:val="center"/>
          </w:tcPr>
          <w:p w:rsidR="009A48A9" w:rsidRPr="00C14220" w:rsidRDefault="009A48A9" w:rsidP="00AC594C">
            <w:pPr>
              <w:jc w:val="left"/>
              <w:rPr>
                <w:b/>
              </w:rPr>
            </w:pPr>
            <w:r w:rsidRPr="00AC594C">
              <w:rPr>
                <w:b/>
              </w:rPr>
              <w:t>Ministerul Economiei, Comerțului și Relațiilor cu Mediul de Afaceri</w:t>
            </w:r>
          </w:p>
        </w:tc>
        <w:tc>
          <w:tcPr>
            <w:tcW w:w="6379" w:type="dxa"/>
            <w:vAlign w:val="center"/>
          </w:tcPr>
          <w:p w:rsidR="009A48A9" w:rsidRPr="00AC594C" w:rsidRDefault="009A48A9" w:rsidP="00AC594C">
            <w:pPr>
              <w:spacing w:beforeLines="20" w:before="48" w:afterLines="20" w:after="48"/>
              <w:rPr>
                <w:b/>
                <w:sz w:val="18"/>
                <w:szCs w:val="18"/>
              </w:rPr>
            </w:pPr>
            <w:r>
              <w:rPr>
                <w:b/>
                <w:sz w:val="18"/>
                <w:szCs w:val="18"/>
              </w:rPr>
              <w:t xml:space="preserve">1.1 </w:t>
            </w:r>
            <w:r w:rsidRPr="00AC594C">
              <w:rPr>
                <w:b/>
                <w:sz w:val="18"/>
                <w:szCs w:val="18"/>
              </w:rPr>
              <w:t>Cercetare și inovare</w:t>
            </w:r>
          </w:p>
          <w:p w:rsidR="009A48A9" w:rsidRPr="00AC594C" w:rsidRDefault="009A48A9" w:rsidP="00AC594C">
            <w:pPr>
              <w:spacing w:beforeLines="20" w:before="48" w:afterLines="20" w:after="48"/>
              <w:rPr>
                <w:b/>
                <w:sz w:val="18"/>
                <w:szCs w:val="18"/>
              </w:rPr>
            </w:pPr>
            <w:r w:rsidRPr="00AC594C">
              <w:rPr>
                <w:b/>
                <w:sz w:val="18"/>
                <w:szCs w:val="18"/>
              </w:rPr>
              <w:t>Criteriu 4 – Exista un mecanism de monitorizare</w:t>
            </w:r>
            <w:r>
              <w:rPr>
                <w:b/>
                <w:sz w:val="18"/>
                <w:szCs w:val="18"/>
              </w:rPr>
              <w:t xml:space="preserve"> </w:t>
            </w:r>
            <w:r w:rsidRPr="00AC594C">
              <w:rPr>
                <w:sz w:val="18"/>
                <w:szCs w:val="18"/>
              </w:rPr>
              <w:t>(înființarea și operaționalizarea Consiliului Național de Competitivitate)</w:t>
            </w:r>
          </w:p>
        </w:tc>
        <w:tc>
          <w:tcPr>
            <w:tcW w:w="4819" w:type="dxa"/>
            <w:vAlign w:val="center"/>
          </w:tcPr>
          <w:p w:rsidR="009A48A9" w:rsidRDefault="009A48A9" w:rsidP="00AC594C">
            <w:r>
              <w:rPr>
                <w:b/>
                <w:sz w:val="18"/>
                <w:szCs w:val="18"/>
              </w:rPr>
              <w:t>2 mă</w:t>
            </w:r>
            <w:r w:rsidRPr="00F279C8">
              <w:rPr>
                <w:b/>
                <w:sz w:val="18"/>
                <w:szCs w:val="18"/>
              </w:rPr>
              <w:t>suri referitoare la</w:t>
            </w:r>
            <w:r>
              <w:rPr>
                <w:b/>
                <w:sz w:val="18"/>
                <w:szCs w:val="18"/>
              </w:rPr>
              <w:t xml:space="preserve"> cartografierea utilităților (cap. 4</w:t>
            </w:r>
            <w:r w:rsidRPr="00AC594C">
              <w:rPr>
                <w:b/>
                <w:sz w:val="18"/>
                <w:szCs w:val="18"/>
              </w:rPr>
              <w:t xml:space="preserve"> al Strategiei Naționale privind achizițiile publice</w:t>
            </w:r>
            <w:r>
              <w:rPr>
                <w:b/>
                <w:sz w:val="18"/>
                <w:szCs w:val="18"/>
              </w:rPr>
              <w:t>)</w:t>
            </w:r>
          </w:p>
        </w:tc>
      </w:tr>
      <w:tr w:rsidR="009A48A9" w:rsidTr="003C294B">
        <w:tc>
          <w:tcPr>
            <w:tcW w:w="534" w:type="dxa"/>
            <w:vMerge w:val="restart"/>
            <w:vAlign w:val="center"/>
          </w:tcPr>
          <w:p w:rsidR="009A48A9" w:rsidRPr="009A48A9" w:rsidRDefault="009A48A9" w:rsidP="009A48A9">
            <w:pPr>
              <w:pStyle w:val="ListParagraph"/>
              <w:numPr>
                <w:ilvl w:val="0"/>
                <w:numId w:val="8"/>
              </w:numPr>
              <w:ind w:left="426" w:hanging="284"/>
              <w:rPr>
                <w:b/>
              </w:rPr>
            </w:pPr>
          </w:p>
        </w:tc>
        <w:tc>
          <w:tcPr>
            <w:tcW w:w="3827" w:type="dxa"/>
            <w:vMerge w:val="restart"/>
            <w:vAlign w:val="center"/>
          </w:tcPr>
          <w:p w:rsidR="009A48A9" w:rsidRPr="00C14220" w:rsidRDefault="009A48A9" w:rsidP="00AC594C">
            <w:pPr>
              <w:jc w:val="left"/>
              <w:rPr>
                <w:b/>
              </w:rPr>
            </w:pPr>
            <w:r w:rsidRPr="00C14220">
              <w:rPr>
                <w:b/>
              </w:rPr>
              <w:t>Ministerul Comunicaţiilor şi pentru Societatea Informaţională</w:t>
            </w:r>
          </w:p>
        </w:tc>
        <w:tc>
          <w:tcPr>
            <w:tcW w:w="6379" w:type="dxa"/>
            <w:vAlign w:val="center"/>
          </w:tcPr>
          <w:p w:rsidR="009A48A9" w:rsidRPr="0063491A" w:rsidRDefault="009A48A9" w:rsidP="00AC594C">
            <w:pPr>
              <w:spacing w:beforeLines="20" w:before="48" w:afterLines="20" w:after="48"/>
              <w:rPr>
                <w:b/>
                <w:sz w:val="18"/>
                <w:szCs w:val="18"/>
              </w:rPr>
            </w:pPr>
            <w:r w:rsidRPr="00C14220">
              <w:rPr>
                <w:b/>
                <w:sz w:val="18"/>
                <w:szCs w:val="18"/>
              </w:rPr>
              <w:t>2.1. Dezvoltarea digitală: Un cadru strategic de politică referitor la dezvoltarea digitală</w:t>
            </w:r>
          </w:p>
        </w:tc>
        <w:tc>
          <w:tcPr>
            <w:tcW w:w="4819" w:type="dxa"/>
            <w:vAlign w:val="center"/>
          </w:tcPr>
          <w:p w:rsidR="009A48A9" w:rsidRDefault="009A48A9" w:rsidP="00AC594C"/>
        </w:tc>
      </w:tr>
      <w:tr w:rsidR="009A48A9" w:rsidTr="003C294B">
        <w:tc>
          <w:tcPr>
            <w:tcW w:w="534" w:type="dxa"/>
            <w:vMerge/>
            <w:vAlign w:val="center"/>
          </w:tcPr>
          <w:p w:rsidR="009A48A9" w:rsidRPr="00605E8F" w:rsidRDefault="009A48A9" w:rsidP="009A48A9">
            <w:pPr>
              <w:pStyle w:val="ListParagraph"/>
              <w:numPr>
                <w:ilvl w:val="0"/>
                <w:numId w:val="8"/>
              </w:numPr>
              <w:ind w:left="426" w:hanging="284"/>
              <w:rPr>
                <w:lang w:val="fr-FR"/>
              </w:rPr>
            </w:pPr>
          </w:p>
        </w:tc>
        <w:tc>
          <w:tcPr>
            <w:tcW w:w="3827" w:type="dxa"/>
            <w:vMerge/>
            <w:vAlign w:val="center"/>
          </w:tcPr>
          <w:p w:rsidR="009A48A9" w:rsidRPr="00490C5C" w:rsidRDefault="009A48A9" w:rsidP="00AC594C"/>
        </w:tc>
        <w:tc>
          <w:tcPr>
            <w:tcW w:w="6379" w:type="dxa"/>
            <w:vAlign w:val="center"/>
          </w:tcPr>
          <w:p w:rsidR="009A48A9" w:rsidRPr="0063491A" w:rsidRDefault="009A48A9" w:rsidP="00AC594C">
            <w:pPr>
              <w:spacing w:beforeLines="20" w:before="48" w:afterLines="20" w:after="48"/>
              <w:rPr>
                <w:b/>
                <w:sz w:val="18"/>
                <w:szCs w:val="18"/>
              </w:rPr>
            </w:pPr>
            <w:r w:rsidRPr="00C14220">
              <w:rPr>
                <w:b/>
                <w:sz w:val="18"/>
                <w:szCs w:val="18"/>
              </w:rPr>
              <w:t>2.2. Infrastructura pentru rețeaua de generație următoare</w:t>
            </w:r>
          </w:p>
        </w:tc>
        <w:tc>
          <w:tcPr>
            <w:tcW w:w="4819" w:type="dxa"/>
            <w:vAlign w:val="center"/>
          </w:tcPr>
          <w:p w:rsidR="009A48A9" w:rsidRDefault="009A48A9" w:rsidP="00AC594C"/>
        </w:tc>
      </w:tr>
      <w:tr w:rsidR="009A48A9" w:rsidTr="003C294B">
        <w:tc>
          <w:tcPr>
            <w:tcW w:w="534" w:type="dxa"/>
            <w:vAlign w:val="center"/>
          </w:tcPr>
          <w:p w:rsidR="009A48A9" w:rsidRPr="00605E8F" w:rsidRDefault="009A48A9" w:rsidP="009A48A9">
            <w:pPr>
              <w:pStyle w:val="ListParagraph"/>
              <w:numPr>
                <w:ilvl w:val="0"/>
                <w:numId w:val="8"/>
              </w:numPr>
              <w:ind w:left="426" w:hanging="284"/>
              <w:rPr>
                <w:b/>
                <w:lang w:val="fr-FR"/>
              </w:rPr>
            </w:pPr>
          </w:p>
        </w:tc>
        <w:tc>
          <w:tcPr>
            <w:tcW w:w="3827" w:type="dxa"/>
            <w:vAlign w:val="center"/>
          </w:tcPr>
          <w:p w:rsidR="009A48A9" w:rsidRPr="00490C5C" w:rsidRDefault="009A48A9" w:rsidP="00AC594C">
            <w:pPr>
              <w:jc w:val="left"/>
            </w:pPr>
            <w:r w:rsidRPr="00F8577D">
              <w:rPr>
                <w:b/>
              </w:rPr>
              <w:t>Consiliul Concurenței</w:t>
            </w:r>
          </w:p>
        </w:tc>
        <w:tc>
          <w:tcPr>
            <w:tcW w:w="6379" w:type="dxa"/>
            <w:vAlign w:val="center"/>
          </w:tcPr>
          <w:p w:rsidR="009A48A9" w:rsidRPr="00C14220" w:rsidRDefault="009A48A9" w:rsidP="00AC594C">
            <w:pPr>
              <w:spacing w:beforeLines="20" w:before="48" w:afterLines="20" w:after="48"/>
              <w:rPr>
                <w:b/>
                <w:sz w:val="18"/>
                <w:szCs w:val="18"/>
              </w:rPr>
            </w:pPr>
            <w:r w:rsidRPr="00F8577D">
              <w:rPr>
                <w:b/>
                <w:sz w:val="18"/>
                <w:szCs w:val="18"/>
              </w:rPr>
              <w:t>5. Ajutoare de stat - Existența unor măsuri de aplicare eficace a normelor Uniunii din domeniul ajutoarelor de stat în ceea ce privește fondurile ESI.</w:t>
            </w:r>
          </w:p>
        </w:tc>
        <w:tc>
          <w:tcPr>
            <w:tcW w:w="4819" w:type="dxa"/>
            <w:vAlign w:val="center"/>
          </w:tcPr>
          <w:p w:rsidR="009A48A9" w:rsidRDefault="009A48A9" w:rsidP="00AC594C"/>
        </w:tc>
      </w:tr>
      <w:tr w:rsidR="009A48A9" w:rsidTr="003C294B">
        <w:trPr>
          <w:trHeight w:val="593"/>
        </w:trPr>
        <w:tc>
          <w:tcPr>
            <w:tcW w:w="534" w:type="dxa"/>
            <w:vAlign w:val="center"/>
          </w:tcPr>
          <w:p w:rsidR="009A48A9" w:rsidRPr="00605E8F" w:rsidRDefault="009A48A9" w:rsidP="009A48A9">
            <w:pPr>
              <w:pStyle w:val="ListParagraph"/>
              <w:numPr>
                <w:ilvl w:val="0"/>
                <w:numId w:val="8"/>
              </w:numPr>
              <w:ind w:left="426" w:hanging="284"/>
              <w:rPr>
                <w:rFonts w:ascii="Calibri" w:hAnsi="Calibri" w:cs="Calibri"/>
                <w:b/>
                <w:lang w:val="fr-FR"/>
              </w:rPr>
            </w:pPr>
          </w:p>
        </w:tc>
        <w:tc>
          <w:tcPr>
            <w:tcW w:w="3827" w:type="dxa"/>
            <w:vAlign w:val="center"/>
          </w:tcPr>
          <w:p w:rsidR="009A48A9" w:rsidRPr="00490C5C" w:rsidRDefault="009A48A9" w:rsidP="00AC594C">
            <w:r w:rsidRPr="00F8577D">
              <w:rPr>
                <w:rFonts w:ascii="Calibri" w:hAnsi="Calibri" w:cs="Calibri"/>
                <w:b/>
              </w:rPr>
              <w:t>Ministerul Afacerilor Interne - IGSU</w:t>
            </w:r>
          </w:p>
        </w:tc>
        <w:tc>
          <w:tcPr>
            <w:tcW w:w="6379" w:type="dxa"/>
            <w:vAlign w:val="center"/>
          </w:tcPr>
          <w:p w:rsidR="009A48A9" w:rsidRPr="00C14220" w:rsidRDefault="009A48A9" w:rsidP="00AC594C">
            <w:pPr>
              <w:spacing w:beforeLines="20" w:before="48" w:afterLines="20" w:after="48"/>
              <w:rPr>
                <w:b/>
                <w:sz w:val="18"/>
                <w:szCs w:val="18"/>
              </w:rPr>
            </w:pPr>
            <w:r w:rsidRPr="00F8577D">
              <w:rPr>
                <w:b/>
                <w:sz w:val="18"/>
                <w:szCs w:val="18"/>
              </w:rPr>
              <w:t>5.1. Prevenirea și gestionarea riscurilor: Existența evaluărilor naționale sau regionale ale riscurilor pentru gestionarea dezastrelor, luând în considerare adaptarea la schimbările climatice</w:t>
            </w:r>
          </w:p>
        </w:tc>
        <w:tc>
          <w:tcPr>
            <w:tcW w:w="4819" w:type="dxa"/>
            <w:vAlign w:val="center"/>
          </w:tcPr>
          <w:p w:rsidR="009A48A9" w:rsidRDefault="009A48A9" w:rsidP="00AC594C"/>
        </w:tc>
      </w:tr>
      <w:tr w:rsidR="009A48A9" w:rsidTr="003C294B">
        <w:tc>
          <w:tcPr>
            <w:tcW w:w="534" w:type="dxa"/>
            <w:vMerge w:val="restart"/>
            <w:vAlign w:val="center"/>
          </w:tcPr>
          <w:p w:rsidR="009A48A9" w:rsidRPr="00605E8F" w:rsidRDefault="009A48A9" w:rsidP="009A48A9">
            <w:pPr>
              <w:pStyle w:val="ListParagraph"/>
              <w:numPr>
                <w:ilvl w:val="0"/>
                <w:numId w:val="8"/>
              </w:numPr>
              <w:ind w:left="426" w:hanging="284"/>
              <w:rPr>
                <w:rFonts w:ascii="Calibri" w:hAnsi="Calibri" w:cs="Calibri"/>
                <w:b/>
                <w:lang w:val="ro-RO"/>
              </w:rPr>
            </w:pPr>
          </w:p>
        </w:tc>
        <w:tc>
          <w:tcPr>
            <w:tcW w:w="3827" w:type="dxa"/>
            <w:vMerge w:val="restart"/>
            <w:vAlign w:val="center"/>
          </w:tcPr>
          <w:p w:rsidR="009A48A9" w:rsidRPr="00490C5C" w:rsidRDefault="009A48A9" w:rsidP="00AC594C">
            <w:r w:rsidRPr="00F8577D">
              <w:rPr>
                <w:rFonts w:ascii="Calibri" w:hAnsi="Calibri" w:cs="Calibri"/>
                <w:b/>
              </w:rPr>
              <w:t>Ministerul Mediului, Apelor și Pădurilor</w:t>
            </w:r>
          </w:p>
        </w:tc>
        <w:tc>
          <w:tcPr>
            <w:tcW w:w="6379" w:type="dxa"/>
            <w:vAlign w:val="center"/>
          </w:tcPr>
          <w:p w:rsidR="009A48A9" w:rsidRPr="00C14220" w:rsidRDefault="009A48A9" w:rsidP="00AC594C">
            <w:pPr>
              <w:spacing w:beforeLines="20" w:before="48" w:afterLines="20" w:after="48"/>
              <w:rPr>
                <w:b/>
                <w:sz w:val="18"/>
                <w:szCs w:val="18"/>
              </w:rPr>
            </w:pPr>
            <w:r w:rsidRPr="00F8577D">
              <w:rPr>
                <w:b/>
                <w:sz w:val="18"/>
                <w:szCs w:val="18"/>
              </w:rPr>
              <w:t>5.1. Prevenirea și gestionarea riscurilor</w:t>
            </w:r>
          </w:p>
        </w:tc>
        <w:tc>
          <w:tcPr>
            <w:tcW w:w="4819" w:type="dxa"/>
            <w:vMerge w:val="restart"/>
            <w:vAlign w:val="center"/>
          </w:tcPr>
          <w:p w:rsidR="009A48A9" w:rsidRDefault="009A48A9" w:rsidP="00AC594C">
            <w:pPr>
              <w:spacing w:beforeLines="20" w:before="48" w:afterLines="20" w:after="48"/>
            </w:pPr>
            <w:r w:rsidRPr="000D1CB2">
              <w:rPr>
                <w:b/>
                <w:sz w:val="18"/>
                <w:szCs w:val="18"/>
              </w:rPr>
              <w:t xml:space="preserve">Elaborarea și implementarea proiectului pilot pentru </w:t>
            </w:r>
            <w:r>
              <w:rPr>
                <w:b/>
                <w:sz w:val="18"/>
                <w:szCs w:val="18"/>
              </w:rPr>
              <w:t xml:space="preserve">autoritățile contractante mari - </w:t>
            </w:r>
            <w:r w:rsidRPr="000D1CB2">
              <w:rPr>
                <w:b/>
                <w:sz w:val="18"/>
                <w:szCs w:val="18"/>
              </w:rPr>
              <w:t>ANAR</w:t>
            </w:r>
          </w:p>
        </w:tc>
      </w:tr>
      <w:tr w:rsidR="009A48A9" w:rsidTr="003C294B">
        <w:tc>
          <w:tcPr>
            <w:tcW w:w="534" w:type="dxa"/>
            <w:vMerge/>
            <w:vAlign w:val="center"/>
          </w:tcPr>
          <w:p w:rsidR="009A48A9" w:rsidRPr="00605E8F" w:rsidRDefault="009A48A9" w:rsidP="009A48A9">
            <w:pPr>
              <w:pStyle w:val="ListParagraph"/>
              <w:numPr>
                <w:ilvl w:val="0"/>
                <w:numId w:val="8"/>
              </w:numPr>
              <w:ind w:left="426" w:hanging="284"/>
              <w:rPr>
                <w:rFonts w:ascii="Calibri" w:hAnsi="Calibri" w:cs="Calibri"/>
                <w:b/>
                <w:lang w:val="fr-FR"/>
              </w:rPr>
            </w:pPr>
          </w:p>
        </w:tc>
        <w:tc>
          <w:tcPr>
            <w:tcW w:w="3827" w:type="dxa"/>
            <w:vMerge/>
            <w:vAlign w:val="center"/>
          </w:tcPr>
          <w:p w:rsidR="009A48A9" w:rsidRPr="00F8577D" w:rsidRDefault="009A48A9" w:rsidP="00AC594C">
            <w:pPr>
              <w:rPr>
                <w:rFonts w:ascii="Calibri" w:hAnsi="Calibri" w:cs="Calibri"/>
                <w:b/>
              </w:rPr>
            </w:pPr>
          </w:p>
        </w:tc>
        <w:tc>
          <w:tcPr>
            <w:tcW w:w="6379" w:type="dxa"/>
            <w:vAlign w:val="center"/>
          </w:tcPr>
          <w:p w:rsidR="009A48A9" w:rsidRPr="00C14220" w:rsidRDefault="009A48A9" w:rsidP="00AC594C">
            <w:pPr>
              <w:spacing w:beforeLines="20" w:before="48" w:afterLines="20" w:after="48"/>
              <w:rPr>
                <w:b/>
                <w:sz w:val="18"/>
                <w:szCs w:val="18"/>
              </w:rPr>
            </w:pPr>
            <w:r w:rsidRPr="00F8577D">
              <w:rPr>
                <w:b/>
                <w:sz w:val="18"/>
                <w:szCs w:val="18"/>
              </w:rPr>
              <w:t xml:space="preserve">6.1. Sectorul apei: Existența (a) </w:t>
            </w:r>
            <w:proofErr w:type="spellStart"/>
            <w:r w:rsidRPr="00F8577D">
              <w:rPr>
                <w:b/>
                <w:sz w:val="18"/>
                <w:szCs w:val="18"/>
              </w:rPr>
              <w:t>a</w:t>
            </w:r>
            <w:proofErr w:type="spellEnd"/>
            <w:r w:rsidRPr="00F8577D">
              <w:rPr>
                <w:b/>
                <w:sz w:val="18"/>
                <w:szCs w:val="18"/>
              </w:rPr>
              <w:t xml:space="preserve"> unei politici tarifare privind apele care prevede stimulente corespunzătoare pentru ca utilizatorii să utilizeze eficient resursele de apă și (b) a unei contribuții adecvate a diferitelor utilizări ale apei pentru </w:t>
            </w:r>
            <w:r w:rsidRPr="00F8577D">
              <w:rPr>
                <w:b/>
                <w:sz w:val="18"/>
                <w:szCs w:val="18"/>
              </w:rPr>
              <w:lastRenderedPageBreak/>
              <w:t>recuperarea costurilor serviciilor legate de utilizarea apei</w:t>
            </w:r>
          </w:p>
        </w:tc>
        <w:tc>
          <w:tcPr>
            <w:tcW w:w="4819" w:type="dxa"/>
            <w:vMerge/>
            <w:vAlign w:val="center"/>
          </w:tcPr>
          <w:p w:rsidR="009A48A9" w:rsidRDefault="009A48A9" w:rsidP="00AC594C"/>
        </w:tc>
      </w:tr>
      <w:tr w:rsidR="009A48A9" w:rsidTr="003C294B">
        <w:tc>
          <w:tcPr>
            <w:tcW w:w="534" w:type="dxa"/>
            <w:vMerge/>
            <w:vAlign w:val="center"/>
          </w:tcPr>
          <w:p w:rsidR="009A48A9" w:rsidRPr="00605E8F" w:rsidRDefault="009A48A9" w:rsidP="009A48A9">
            <w:pPr>
              <w:pStyle w:val="ListParagraph"/>
              <w:numPr>
                <w:ilvl w:val="0"/>
                <w:numId w:val="8"/>
              </w:numPr>
              <w:ind w:left="426" w:hanging="284"/>
              <w:rPr>
                <w:rFonts w:ascii="Calibri" w:hAnsi="Calibri" w:cs="Calibri"/>
                <w:b/>
                <w:lang w:val="ro-RO"/>
              </w:rPr>
            </w:pPr>
          </w:p>
        </w:tc>
        <w:tc>
          <w:tcPr>
            <w:tcW w:w="3827" w:type="dxa"/>
            <w:vMerge/>
            <w:vAlign w:val="center"/>
          </w:tcPr>
          <w:p w:rsidR="009A48A9" w:rsidRPr="00F8577D" w:rsidRDefault="009A48A9" w:rsidP="00AC594C">
            <w:pPr>
              <w:rPr>
                <w:rFonts w:ascii="Calibri" w:hAnsi="Calibri" w:cs="Calibri"/>
                <w:b/>
              </w:rPr>
            </w:pPr>
          </w:p>
        </w:tc>
        <w:tc>
          <w:tcPr>
            <w:tcW w:w="6379" w:type="dxa"/>
            <w:vAlign w:val="center"/>
          </w:tcPr>
          <w:p w:rsidR="009A48A9" w:rsidRPr="00C14220" w:rsidRDefault="009A48A9" w:rsidP="00AC594C">
            <w:pPr>
              <w:spacing w:beforeLines="20" w:before="48" w:afterLines="20" w:after="48"/>
              <w:rPr>
                <w:b/>
                <w:sz w:val="18"/>
                <w:szCs w:val="18"/>
              </w:rPr>
            </w:pPr>
            <w:r w:rsidRPr="00F8577D">
              <w:rPr>
                <w:b/>
                <w:sz w:val="18"/>
                <w:szCs w:val="18"/>
              </w:rPr>
              <w:t>6.2. Sectorul deșeurilor: Promovarea unor investiții sustenabile din punct de vedere economic și de mediu</w:t>
            </w:r>
          </w:p>
        </w:tc>
        <w:tc>
          <w:tcPr>
            <w:tcW w:w="4819" w:type="dxa"/>
            <w:vMerge/>
            <w:vAlign w:val="center"/>
          </w:tcPr>
          <w:p w:rsidR="009A48A9" w:rsidRDefault="009A48A9" w:rsidP="00AC594C"/>
        </w:tc>
      </w:tr>
      <w:tr w:rsidR="009A48A9" w:rsidTr="003C294B">
        <w:tc>
          <w:tcPr>
            <w:tcW w:w="534" w:type="dxa"/>
            <w:vMerge/>
            <w:vAlign w:val="center"/>
          </w:tcPr>
          <w:p w:rsidR="009A48A9" w:rsidRPr="009A48A9" w:rsidRDefault="009A48A9" w:rsidP="009A48A9">
            <w:pPr>
              <w:pStyle w:val="ListParagraph"/>
              <w:numPr>
                <w:ilvl w:val="0"/>
                <w:numId w:val="8"/>
              </w:numPr>
              <w:ind w:left="426" w:hanging="284"/>
              <w:rPr>
                <w:rFonts w:ascii="Calibri" w:hAnsi="Calibri" w:cs="Calibri"/>
                <w:b/>
              </w:rPr>
            </w:pPr>
          </w:p>
        </w:tc>
        <w:tc>
          <w:tcPr>
            <w:tcW w:w="3827" w:type="dxa"/>
            <w:vMerge/>
            <w:vAlign w:val="center"/>
          </w:tcPr>
          <w:p w:rsidR="009A48A9" w:rsidRPr="00F8577D" w:rsidRDefault="009A48A9" w:rsidP="00AC594C">
            <w:pPr>
              <w:rPr>
                <w:rFonts w:ascii="Calibri" w:hAnsi="Calibri" w:cs="Calibri"/>
                <w:b/>
              </w:rPr>
            </w:pPr>
          </w:p>
        </w:tc>
        <w:tc>
          <w:tcPr>
            <w:tcW w:w="6379" w:type="dxa"/>
            <w:vAlign w:val="center"/>
          </w:tcPr>
          <w:p w:rsidR="009A48A9" w:rsidRPr="00C14220" w:rsidRDefault="009A48A9" w:rsidP="00AC594C">
            <w:pPr>
              <w:spacing w:beforeLines="20" w:before="48" w:afterLines="20" w:after="48"/>
              <w:rPr>
                <w:b/>
                <w:sz w:val="18"/>
                <w:szCs w:val="18"/>
              </w:rPr>
            </w:pPr>
            <w:r w:rsidRPr="000D1CB2">
              <w:rPr>
                <w:b/>
                <w:sz w:val="18"/>
                <w:szCs w:val="18"/>
              </w:rPr>
              <w:t>6. Legislația de mediu privind evaluarea impactului asupra mediului</w:t>
            </w:r>
          </w:p>
        </w:tc>
        <w:tc>
          <w:tcPr>
            <w:tcW w:w="4819" w:type="dxa"/>
            <w:vMerge/>
            <w:vAlign w:val="center"/>
          </w:tcPr>
          <w:p w:rsidR="009A48A9" w:rsidRDefault="009A48A9" w:rsidP="00AC594C"/>
        </w:tc>
      </w:tr>
      <w:tr w:rsidR="009A48A9" w:rsidTr="003C294B">
        <w:tc>
          <w:tcPr>
            <w:tcW w:w="534" w:type="dxa"/>
            <w:vMerge w:val="restart"/>
            <w:vAlign w:val="center"/>
          </w:tcPr>
          <w:p w:rsidR="009A48A9" w:rsidRPr="009A48A9" w:rsidRDefault="009A48A9" w:rsidP="009A48A9">
            <w:pPr>
              <w:pStyle w:val="ListParagraph"/>
              <w:numPr>
                <w:ilvl w:val="0"/>
                <w:numId w:val="8"/>
              </w:numPr>
              <w:ind w:left="426" w:hanging="284"/>
              <w:rPr>
                <w:rFonts w:ascii="Calibri" w:hAnsi="Calibri" w:cs="Calibri"/>
                <w:b/>
              </w:rPr>
            </w:pPr>
          </w:p>
        </w:tc>
        <w:tc>
          <w:tcPr>
            <w:tcW w:w="3827" w:type="dxa"/>
            <w:vMerge w:val="restart"/>
            <w:vAlign w:val="center"/>
          </w:tcPr>
          <w:p w:rsidR="009A48A9" w:rsidRPr="00F8577D" w:rsidRDefault="009A48A9" w:rsidP="00AC594C">
            <w:pPr>
              <w:rPr>
                <w:rFonts w:ascii="Calibri" w:hAnsi="Calibri" w:cs="Calibri"/>
                <w:b/>
              </w:rPr>
            </w:pPr>
            <w:r w:rsidRPr="00CD25FD">
              <w:rPr>
                <w:rFonts w:ascii="Calibri" w:hAnsi="Calibri" w:cs="Calibri"/>
                <w:b/>
              </w:rPr>
              <w:t>Ministerul Transporturilor</w:t>
            </w:r>
          </w:p>
        </w:tc>
        <w:tc>
          <w:tcPr>
            <w:tcW w:w="6379" w:type="dxa"/>
            <w:vAlign w:val="center"/>
          </w:tcPr>
          <w:p w:rsidR="009A48A9" w:rsidRPr="00C14220" w:rsidRDefault="009A48A9" w:rsidP="001C4390">
            <w:pPr>
              <w:spacing w:beforeLines="20" w:before="48" w:afterLines="20" w:after="48"/>
              <w:rPr>
                <w:b/>
                <w:sz w:val="18"/>
                <w:szCs w:val="18"/>
              </w:rPr>
            </w:pPr>
            <w:r w:rsidRPr="00CD25FD">
              <w:rPr>
                <w:b/>
                <w:sz w:val="18"/>
                <w:szCs w:val="18"/>
              </w:rPr>
              <w:t>7.1: Transportul rutier: Existența unuia sau mai multor planuri sau cadre cuprinzătoare pentru investiții în transporturi, în conformitate cu cadrul instituțional al statelor membre (inclusiv transportul public la nivel local și regional), care să sprijine dezvoltarea infrastructurii și să îmbunătățească conectivitatea la rețeaua TEN-T centrală şi extinsă.</w:t>
            </w:r>
          </w:p>
        </w:tc>
        <w:tc>
          <w:tcPr>
            <w:tcW w:w="4819" w:type="dxa"/>
            <w:vMerge w:val="restart"/>
            <w:vAlign w:val="center"/>
          </w:tcPr>
          <w:p w:rsidR="009A48A9" w:rsidRDefault="009A48A9" w:rsidP="00AC594C">
            <w:pPr>
              <w:spacing w:beforeLines="20" w:before="48" w:afterLines="20" w:after="48"/>
            </w:pPr>
            <w:r w:rsidRPr="000D1CB2">
              <w:rPr>
                <w:b/>
                <w:sz w:val="18"/>
                <w:szCs w:val="18"/>
              </w:rPr>
              <w:t xml:space="preserve">Elaborarea și implementarea proiectului pilot pentru autoritățile contractante mari </w:t>
            </w:r>
            <w:r>
              <w:rPr>
                <w:b/>
                <w:sz w:val="18"/>
                <w:szCs w:val="18"/>
              </w:rPr>
              <w:t>- CNADR</w:t>
            </w:r>
          </w:p>
        </w:tc>
      </w:tr>
      <w:tr w:rsidR="009A48A9" w:rsidTr="003C294B">
        <w:tc>
          <w:tcPr>
            <w:tcW w:w="534" w:type="dxa"/>
            <w:vMerge/>
            <w:vAlign w:val="center"/>
          </w:tcPr>
          <w:p w:rsidR="009A48A9" w:rsidRPr="00605E8F" w:rsidRDefault="009A48A9" w:rsidP="009A48A9">
            <w:pPr>
              <w:pStyle w:val="ListParagraph"/>
              <w:numPr>
                <w:ilvl w:val="0"/>
                <w:numId w:val="8"/>
              </w:numPr>
              <w:ind w:left="426" w:hanging="284"/>
              <w:rPr>
                <w:rFonts w:ascii="Calibri" w:hAnsi="Calibri" w:cs="Calibri"/>
                <w:b/>
                <w:lang w:val="fr-FR"/>
              </w:rPr>
            </w:pPr>
          </w:p>
        </w:tc>
        <w:tc>
          <w:tcPr>
            <w:tcW w:w="3827" w:type="dxa"/>
            <w:vMerge/>
            <w:vAlign w:val="center"/>
          </w:tcPr>
          <w:p w:rsidR="009A48A9" w:rsidRPr="00F8577D" w:rsidRDefault="009A48A9" w:rsidP="00AC594C">
            <w:pPr>
              <w:rPr>
                <w:rFonts w:ascii="Calibri" w:hAnsi="Calibri" w:cs="Calibri"/>
                <w:b/>
              </w:rPr>
            </w:pPr>
          </w:p>
        </w:tc>
        <w:tc>
          <w:tcPr>
            <w:tcW w:w="6379" w:type="dxa"/>
            <w:vAlign w:val="center"/>
          </w:tcPr>
          <w:p w:rsidR="009A48A9" w:rsidRPr="00C14220" w:rsidRDefault="009A48A9" w:rsidP="00AC594C">
            <w:pPr>
              <w:spacing w:beforeLines="20" w:before="48" w:afterLines="20" w:after="48"/>
              <w:rPr>
                <w:b/>
                <w:sz w:val="18"/>
                <w:szCs w:val="18"/>
              </w:rPr>
            </w:pPr>
            <w:r w:rsidRPr="00CD25FD">
              <w:rPr>
                <w:b/>
                <w:sz w:val="18"/>
                <w:szCs w:val="18"/>
              </w:rPr>
              <w:t>7.2: Transportul feroviar: Existența în planurile sau cadrele cuprinzătoare de transport a unei secțiuni explicite privind dezvoltarea transportului feroviar, în conformitate cu cadrul instituțional al statelor membre (inclusiv privind transportul public la nivel local și regional), care să sprijine dezvoltarea infrastructurii și să îmbunătățească conectivitatea la rețelele globale și de bază TEN-T. Investițiile acoperă activele mobile, interoperabilitatea și consolidarea capacităților.</w:t>
            </w:r>
          </w:p>
        </w:tc>
        <w:tc>
          <w:tcPr>
            <w:tcW w:w="4819" w:type="dxa"/>
            <w:vMerge/>
            <w:vAlign w:val="center"/>
          </w:tcPr>
          <w:p w:rsidR="009A48A9" w:rsidRDefault="009A48A9" w:rsidP="00AC594C"/>
        </w:tc>
      </w:tr>
      <w:tr w:rsidR="009A48A9" w:rsidTr="003C294B">
        <w:trPr>
          <w:trHeight w:val="1834"/>
        </w:trPr>
        <w:tc>
          <w:tcPr>
            <w:tcW w:w="534" w:type="dxa"/>
            <w:vMerge/>
            <w:vAlign w:val="center"/>
          </w:tcPr>
          <w:p w:rsidR="009A48A9" w:rsidRPr="009A48A9" w:rsidRDefault="009A48A9" w:rsidP="009A48A9">
            <w:pPr>
              <w:pStyle w:val="ListParagraph"/>
              <w:numPr>
                <w:ilvl w:val="0"/>
                <w:numId w:val="8"/>
              </w:numPr>
              <w:ind w:left="426" w:hanging="284"/>
              <w:rPr>
                <w:rFonts w:ascii="Calibri" w:hAnsi="Calibri" w:cs="Calibri"/>
                <w:b/>
              </w:rPr>
            </w:pPr>
          </w:p>
        </w:tc>
        <w:tc>
          <w:tcPr>
            <w:tcW w:w="3827" w:type="dxa"/>
            <w:vMerge/>
            <w:vAlign w:val="center"/>
          </w:tcPr>
          <w:p w:rsidR="009A48A9" w:rsidRPr="00F8577D" w:rsidRDefault="009A48A9" w:rsidP="00AC594C">
            <w:pPr>
              <w:rPr>
                <w:rFonts w:ascii="Calibri" w:hAnsi="Calibri" w:cs="Calibri"/>
                <w:b/>
              </w:rPr>
            </w:pPr>
          </w:p>
        </w:tc>
        <w:tc>
          <w:tcPr>
            <w:tcW w:w="6379" w:type="dxa"/>
            <w:vAlign w:val="center"/>
          </w:tcPr>
          <w:p w:rsidR="009A48A9" w:rsidRPr="00C14220" w:rsidRDefault="009A48A9" w:rsidP="00AC594C">
            <w:pPr>
              <w:spacing w:beforeLines="20" w:before="48" w:afterLines="20" w:after="48"/>
              <w:rPr>
                <w:b/>
                <w:sz w:val="18"/>
                <w:szCs w:val="18"/>
              </w:rPr>
            </w:pPr>
            <w:r w:rsidRPr="00CD25FD">
              <w:rPr>
                <w:b/>
                <w:sz w:val="18"/>
                <w:szCs w:val="18"/>
              </w:rPr>
              <w:t xml:space="preserve">7.3: Alte mijloace de transport, inclusiv căi navigabile interioare și transportul maritim, porturi, legături </w:t>
            </w:r>
            <w:proofErr w:type="spellStart"/>
            <w:r w:rsidRPr="00CD25FD">
              <w:rPr>
                <w:b/>
                <w:sz w:val="18"/>
                <w:szCs w:val="18"/>
              </w:rPr>
              <w:t>multimodale</w:t>
            </w:r>
            <w:proofErr w:type="spellEnd"/>
            <w:r w:rsidRPr="00CD25FD">
              <w:rPr>
                <w:b/>
                <w:sz w:val="18"/>
                <w:szCs w:val="18"/>
              </w:rPr>
              <w:t xml:space="preserve"> și infrastructuri aeroportuare: Existența în planul sau planurile sau cadrul sau cadrele cuprinzătoare de transport a unei secțiuni specifice privind căile navigabile interioare și transportul maritim, porturile, legăturile </w:t>
            </w:r>
            <w:proofErr w:type="spellStart"/>
            <w:r w:rsidRPr="00CD25FD">
              <w:rPr>
                <w:b/>
                <w:sz w:val="18"/>
                <w:szCs w:val="18"/>
              </w:rPr>
              <w:t>multimodale</w:t>
            </w:r>
            <w:proofErr w:type="spellEnd"/>
            <w:r w:rsidRPr="00CD25FD">
              <w:rPr>
                <w:b/>
                <w:sz w:val="18"/>
                <w:szCs w:val="18"/>
              </w:rPr>
              <w:t xml:space="preserve"> și infrastructurile aeroportuare, care contribuie la îmbunătățirea conectivității la rețeaua TEN-T centrală şi extinsă și la promovarea mobilității regionale și locale durabile.</w:t>
            </w:r>
          </w:p>
        </w:tc>
        <w:tc>
          <w:tcPr>
            <w:tcW w:w="4819" w:type="dxa"/>
            <w:vMerge/>
            <w:vAlign w:val="center"/>
          </w:tcPr>
          <w:p w:rsidR="009A48A9" w:rsidRDefault="009A48A9" w:rsidP="00AC594C"/>
        </w:tc>
      </w:tr>
      <w:tr w:rsidR="009A48A9" w:rsidTr="003C294B">
        <w:trPr>
          <w:trHeight w:val="496"/>
        </w:trPr>
        <w:tc>
          <w:tcPr>
            <w:tcW w:w="534" w:type="dxa"/>
            <w:vAlign w:val="center"/>
          </w:tcPr>
          <w:p w:rsidR="009A48A9" w:rsidRPr="00605E8F" w:rsidRDefault="009A48A9" w:rsidP="009A48A9">
            <w:pPr>
              <w:pStyle w:val="ListParagraph"/>
              <w:numPr>
                <w:ilvl w:val="0"/>
                <w:numId w:val="8"/>
              </w:numPr>
              <w:ind w:left="426" w:hanging="284"/>
              <w:rPr>
                <w:rFonts w:ascii="Calibri" w:hAnsi="Calibri" w:cs="Calibri"/>
                <w:b/>
                <w:lang w:val="ro-RO"/>
              </w:rPr>
            </w:pPr>
          </w:p>
        </w:tc>
        <w:tc>
          <w:tcPr>
            <w:tcW w:w="3827" w:type="dxa"/>
            <w:vAlign w:val="center"/>
          </w:tcPr>
          <w:p w:rsidR="009A48A9" w:rsidRPr="00F8577D" w:rsidRDefault="009A48A9" w:rsidP="00AC594C">
            <w:pPr>
              <w:rPr>
                <w:rFonts w:ascii="Calibri" w:hAnsi="Calibri" w:cs="Calibri"/>
                <w:b/>
              </w:rPr>
            </w:pPr>
            <w:r>
              <w:rPr>
                <w:rFonts w:ascii="Calibri" w:hAnsi="Calibri" w:cs="Calibri"/>
                <w:b/>
              </w:rPr>
              <w:t>Ministerul Sănătății</w:t>
            </w:r>
          </w:p>
        </w:tc>
        <w:tc>
          <w:tcPr>
            <w:tcW w:w="6379" w:type="dxa"/>
            <w:vAlign w:val="center"/>
          </w:tcPr>
          <w:p w:rsidR="009A48A9" w:rsidRPr="00C14220" w:rsidRDefault="009A48A9" w:rsidP="00AC594C">
            <w:pPr>
              <w:spacing w:beforeLines="20" w:before="48" w:afterLines="20" w:after="48"/>
              <w:rPr>
                <w:b/>
                <w:sz w:val="18"/>
                <w:szCs w:val="18"/>
              </w:rPr>
            </w:pPr>
            <w:r w:rsidRPr="00BC322E">
              <w:rPr>
                <w:b/>
                <w:sz w:val="18"/>
                <w:szCs w:val="18"/>
              </w:rPr>
              <w:t>9.3. Sănătate: Existența unui cadru strategic de politică națională</w:t>
            </w:r>
          </w:p>
        </w:tc>
        <w:tc>
          <w:tcPr>
            <w:tcW w:w="4819" w:type="dxa"/>
            <w:vAlign w:val="center"/>
          </w:tcPr>
          <w:p w:rsidR="009A48A9" w:rsidRDefault="009A48A9" w:rsidP="00AC594C"/>
        </w:tc>
      </w:tr>
      <w:tr w:rsidR="009A48A9" w:rsidTr="003C294B">
        <w:tc>
          <w:tcPr>
            <w:tcW w:w="534" w:type="dxa"/>
            <w:vMerge w:val="restart"/>
            <w:vAlign w:val="center"/>
          </w:tcPr>
          <w:p w:rsidR="009A48A9" w:rsidRPr="00605E8F" w:rsidRDefault="009A48A9" w:rsidP="009A48A9">
            <w:pPr>
              <w:pStyle w:val="ListParagraph"/>
              <w:numPr>
                <w:ilvl w:val="0"/>
                <w:numId w:val="8"/>
              </w:numPr>
              <w:ind w:left="426" w:hanging="284"/>
              <w:rPr>
                <w:rFonts w:ascii="Calibri" w:hAnsi="Calibri" w:cs="Calibri"/>
                <w:b/>
                <w:lang w:val="fr-FR"/>
              </w:rPr>
            </w:pPr>
          </w:p>
        </w:tc>
        <w:tc>
          <w:tcPr>
            <w:tcW w:w="3827" w:type="dxa"/>
            <w:vAlign w:val="center"/>
          </w:tcPr>
          <w:p w:rsidR="009A48A9" w:rsidRPr="00F8577D" w:rsidRDefault="009A48A9" w:rsidP="00AC594C">
            <w:pPr>
              <w:rPr>
                <w:rFonts w:ascii="Calibri" w:hAnsi="Calibri" w:cs="Calibri"/>
                <w:b/>
              </w:rPr>
            </w:pPr>
            <w:r w:rsidRPr="006F0F94">
              <w:rPr>
                <w:rFonts w:ascii="Calibri" w:hAnsi="Calibri" w:cs="Calibri"/>
                <w:b/>
              </w:rPr>
              <w:t>Ministerul Dezvoltării Regionale și Administrației Publice</w:t>
            </w:r>
          </w:p>
        </w:tc>
        <w:tc>
          <w:tcPr>
            <w:tcW w:w="6379" w:type="dxa"/>
            <w:vMerge w:val="restart"/>
            <w:vAlign w:val="center"/>
          </w:tcPr>
          <w:p w:rsidR="009A48A9" w:rsidRPr="00C14220" w:rsidRDefault="009A48A9" w:rsidP="00AC594C">
            <w:pPr>
              <w:spacing w:beforeLines="20" w:before="48" w:afterLines="20" w:after="48"/>
              <w:rPr>
                <w:b/>
                <w:sz w:val="18"/>
                <w:szCs w:val="18"/>
              </w:rPr>
            </w:pPr>
            <w:r w:rsidRPr="006F0F94">
              <w:rPr>
                <w:b/>
                <w:sz w:val="18"/>
                <w:szCs w:val="18"/>
              </w:rPr>
              <w:t>11. Existența unui cadru strategic de politică pentru consolidarea eficienței administrative a statelor membre, inclusiv reforma administrației publice.</w:t>
            </w:r>
          </w:p>
        </w:tc>
        <w:tc>
          <w:tcPr>
            <w:tcW w:w="4819" w:type="dxa"/>
            <w:vAlign w:val="center"/>
          </w:tcPr>
          <w:p w:rsidR="009A48A9" w:rsidRDefault="009A48A9" w:rsidP="00347903">
            <w:r>
              <w:rPr>
                <w:b/>
                <w:sz w:val="18"/>
                <w:szCs w:val="18"/>
              </w:rPr>
              <w:t>1</w:t>
            </w:r>
            <w:r w:rsidRPr="00990191">
              <w:rPr>
                <w:b/>
                <w:sz w:val="18"/>
                <w:szCs w:val="18"/>
              </w:rPr>
              <w:t xml:space="preserve"> măsur</w:t>
            </w:r>
            <w:r>
              <w:rPr>
                <w:b/>
                <w:sz w:val="18"/>
                <w:szCs w:val="18"/>
              </w:rPr>
              <w:t>ă</w:t>
            </w:r>
            <w:r w:rsidRPr="00990191">
              <w:rPr>
                <w:b/>
                <w:sz w:val="18"/>
                <w:szCs w:val="18"/>
              </w:rPr>
              <w:t xml:space="preserve"> referitoare</w:t>
            </w:r>
            <w:r w:rsidRPr="005E596A">
              <w:rPr>
                <w:b/>
                <w:sz w:val="18"/>
                <w:szCs w:val="18"/>
              </w:rPr>
              <w:t xml:space="preserve"> </w:t>
            </w:r>
            <w:r>
              <w:rPr>
                <w:b/>
                <w:sz w:val="18"/>
                <w:szCs w:val="18"/>
              </w:rPr>
              <w:t xml:space="preserve">la cap. 4 al </w:t>
            </w:r>
            <w:r w:rsidRPr="005E596A">
              <w:rPr>
                <w:b/>
                <w:sz w:val="18"/>
                <w:szCs w:val="18"/>
              </w:rPr>
              <w:t>Strategiei Naționale privind achizițiile publice</w:t>
            </w:r>
          </w:p>
        </w:tc>
      </w:tr>
      <w:tr w:rsidR="009A48A9" w:rsidTr="003C294B">
        <w:tc>
          <w:tcPr>
            <w:tcW w:w="534" w:type="dxa"/>
            <w:vMerge/>
            <w:vAlign w:val="center"/>
          </w:tcPr>
          <w:p w:rsidR="009A48A9" w:rsidRPr="009A48A9" w:rsidRDefault="009A48A9" w:rsidP="009A48A9">
            <w:pPr>
              <w:pStyle w:val="ListParagraph"/>
              <w:numPr>
                <w:ilvl w:val="0"/>
                <w:numId w:val="8"/>
              </w:numPr>
              <w:ind w:left="426" w:hanging="284"/>
              <w:rPr>
                <w:rFonts w:ascii="Calibri" w:hAnsi="Calibri" w:cs="Calibri"/>
                <w:b/>
              </w:rPr>
            </w:pPr>
          </w:p>
        </w:tc>
        <w:tc>
          <w:tcPr>
            <w:tcW w:w="3827" w:type="dxa"/>
            <w:vAlign w:val="center"/>
          </w:tcPr>
          <w:p w:rsidR="009A48A9" w:rsidRPr="006F0F94" w:rsidRDefault="009A48A9" w:rsidP="00AC594C">
            <w:pPr>
              <w:rPr>
                <w:rFonts w:ascii="Calibri" w:hAnsi="Calibri" w:cs="Calibri"/>
                <w:b/>
              </w:rPr>
            </w:pPr>
            <w:r w:rsidRPr="006F0F94">
              <w:rPr>
                <w:rFonts w:ascii="Calibri" w:hAnsi="Calibri" w:cs="Calibri"/>
                <w:b/>
              </w:rPr>
              <w:t>Ca</w:t>
            </w:r>
            <w:r>
              <w:rPr>
                <w:rFonts w:ascii="Calibri" w:hAnsi="Calibri" w:cs="Calibri"/>
                <w:b/>
              </w:rPr>
              <w:t>ncelaria Primului Ministru</w:t>
            </w:r>
          </w:p>
        </w:tc>
        <w:tc>
          <w:tcPr>
            <w:tcW w:w="6379" w:type="dxa"/>
            <w:vMerge/>
            <w:vAlign w:val="center"/>
          </w:tcPr>
          <w:p w:rsidR="009A48A9" w:rsidRPr="006F0F94" w:rsidRDefault="009A48A9" w:rsidP="00AC594C">
            <w:pPr>
              <w:spacing w:beforeLines="20" w:before="48" w:afterLines="20" w:after="48"/>
              <w:rPr>
                <w:b/>
                <w:sz w:val="18"/>
                <w:szCs w:val="18"/>
              </w:rPr>
            </w:pPr>
          </w:p>
        </w:tc>
        <w:tc>
          <w:tcPr>
            <w:tcW w:w="4819" w:type="dxa"/>
            <w:vAlign w:val="center"/>
          </w:tcPr>
          <w:p w:rsidR="009A48A9" w:rsidRDefault="009A48A9" w:rsidP="00AC594C"/>
        </w:tc>
      </w:tr>
      <w:tr w:rsidR="009A48A9" w:rsidTr="003C294B">
        <w:tc>
          <w:tcPr>
            <w:tcW w:w="534" w:type="dxa"/>
            <w:vMerge/>
            <w:vAlign w:val="center"/>
          </w:tcPr>
          <w:p w:rsidR="009A48A9" w:rsidRPr="009A48A9" w:rsidRDefault="009A48A9" w:rsidP="009A48A9">
            <w:pPr>
              <w:pStyle w:val="ListParagraph"/>
              <w:numPr>
                <w:ilvl w:val="0"/>
                <w:numId w:val="8"/>
              </w:numPr>
              <w:ind w:left="426" w:hanging="284"/>
              <w:rPr>
                <w:rFonts w:ascii="Calibri" w:hAnsi="Calibri" w:cs="Calibri"/>
                <w:b/>
              </w:rPr>
            </w:pPr>
          </w:p>
        </w:tc>
        <w:tc>
          <w:tcPr>
            <w:tcW w:w="3827" w:type="dxa"/>
            <w:vAlign w:val="center"/>
          </w:tcPr>
          <w:p w:rsidR="009A48A9" w:rsidRPr="006F0F94" w:rsidRDefault="009A48A9" w:rsidP="00AC594C">
            <w:pPr>
              <w:rPr>
                <w:rFonts w:ascii="Calibri" w:hAnsi="Calibri" w:cs="Calibri"/>
                <w:b/>
              </w:rPr>
            </w:pPr>
            <w:r w:rsidRPr="006F0F94">
              <w:rPr>
                <w:rFonts w:ascii="Calibri" w:hAnsi="Calibri" w:cs="Calibri"/>
                <w:b/>
              </w:rPr>
              <w:t>Agenția Național</w:t>
            </w:r>
            <w:r>
              <w:rPr>
                <w:rFonts w:ascii="Calibri" w:hAnsi="Calibri" w:cs="Calibri"/>
                <w:b/>
              </w:rPr>
              <w:t>ă a Funcționarilor Publici</w:t>
            </w:r>
          </w:p>
        </w:tc>
        <w:tc>
          <w:tcPr>
            <w:tcW w:w="6379" w:type="dxa"/>
            <w:vMerge/>
            <w:vAlign w:val="center"/>
          </w:tcPr>
          <w:p w:rsidR="009A48A9" w:rsidRPr="006F0F94" w:rsidRDefault="009A48A9" w:rsidP="00AC594C">
            <w:pPr>
              <w:spacing w:beforeLines="20" w:before="48" w:afterLines="20" w:after="48"/>
              <w:rPr>
                <w:b/>
                <w:sz w:val="18"/>
                <w:szCs w:val="18"/>
              </w:rPr>
            </w:pPr>
          </w:p>
        </w:tc>
        <w:tc>
          <w:tcPr>
            <w:tcW w:w="4819" w:type="dxa"/>
            <w:vAlign w:val="center"/>
          </w:tcPr>
          <w:p w:rsidR="009A48A9" w:rsidRDefault="009A48A9" w:rsidP="00AC594C"/>
        </w:tc>
      </w:tr>
      <w:tr w:rsidR="009A48A9" w:rsidTr="003C294B">
        <w:tc>
          <w:tcPr>
            <w:tcW w:w="534" w:type="dxa"/>
            <w:vAlign w:val="center"/>
          </w:tcPr>
          <w:p w:rsidR="009A48A9" w:rsidRPr="00F279C8" w:rsidRDefault="009A48A9" w:rsidP="009A48A9">
            <w:pPr>
              <w:pStyle w:val="ListParagraph"/>
              <w:numPr>
                <w:ilvl w:val="0"/>
                <w:numId w:val="8"/>
              </w:numPr>
              <w:ind w:left="426" w:hanging="284"/>
            </w:pPr>
          </w:p>
        </w:tc>
        <w:tc>
          <w:tcPr>
            <w:tcW w:w="3827" w:type="dxa"/>
            <w:vAlign w:val="center"/>
          </w:tcPr>
          <w:p w:rsidR="009A48A9" w:rsidRPr="00F279C8" w:rsidRDefault="009A48A9" w:rsidP="00AC594C">
            <w:pPr>
              <w:jc w:val="left"/>
              <w:rPr>
                <w:rFonts w:ascii="Calibri" w:hAnsi="Calibri" w:cs="Calibri"/>
              </w:rPr>
            </w:pPr>
            <w:r w:rsidRPr="00F279C8">
              <w:t>Ministerul Comunicaţiilor şi pentru Societatea Informaţională</w:t>
            </w:r>
          </w:p>
          <w:p w:rsidR="009A48A9" w:rsidRPr="006F0F94" w:rsidRDefault="009A48A9" w:rsidP="00AC594C">
            <w:pPr>
              <w:jc w:val="left"/>
              <w:rPr>
                <w:rFonts w:ascii="Calibri" w:hAnsi="Calibri" w:cs="Calibri"/>
                <w:b/>
              </w:rPr>
            </w:pPr>
            <w:r w:rsidRPr="00F279C8">
              <w:rPr>
                <w:rFonts w:ascii="Calibri" w:hAnsi="Calibri" w:cs="Calibri"/>
                <w:b/>
              </w:rPr>
              <w:t>Agenția pentru Agenda Digitala a României</w:t>
            </w:r>
          </w:p>
        </w:tc>
        <w:tc>
          <w:tcPr>
            <w:tcW w:w="6379" w:type="dxa"/>
            <w:vAlign w:val="center"/>
          </w:tcPr>
          <w:p w:rsidR="009A48A9" w:rsidRPr="006F0F94" w:rsidRDefault="009A48A9" w:rsidP="00AC594C">
            <w:pPr>
              <w:spacing w:beforeLines="20" w:before="48" w:afterLines="20" w:after="48"/>
              <w:rPr>
                <w:b/>
                <w:sz w:val="18"/>
                <w:szCs w:val="18"/>
              </w:rPr>
            </w:pPr>
          </w:p>
        </w:tc>
        <w:tc>
          <w:tcPr>
            <w:tcW w:w="4819" w:type="dxa"/>
            <w:vAlign w:val="center"/>
          </w:tcPr>
          <w:p w:rsidR="009A48A9" w:rsidRDefault="009A48A9" w:rsidP="00AC594C">
            <w:pPr>
              <w:spacing w:beforeLines="20" w:before="48" w:afterLines="20" w:after="48"/>
            </w:pPr>
            <w:r>
              <w:rPr>
                <w:b/>
                <w:sz w:val="18"/>
                <w:szCs w:val="18"/>
              </w:rPr>
              <w:t>8 mă</w:t>
            </w:r>
            <w:r w:rsidRPr="00F279C8">
              <w:rPr>
                <w:b/>
                <w:sz w:val="18"/>
                <w:szCs w:val="18"/>
              </w:rPr>
              <w:t>suri referitoare la punerea în funcțiune și operaționalizarea unei platforme electronice îmbunătățite</w:t>
            </w:r>
            <w:r>
              <w:rPr>
                <w:b/>
                <w:sz w:val="18"/>
                <w:szCs w:val="18"/>
              </w:rPr>
              <w:t xml:space="preserve"> (</w:t>
            </w:r>
            <w:r w:rsidRPr="00F279C8">
              <w:rPr>
                <w:b/>
                <w:sz w:val="18"/>
                <w:szCs w:val="18"/>
              </w:rPr>
              <w:t>SICAP</w:t>
            </w:r>
            <w:r>
              <w:rPr>
                <w:b/>
                <w:sz w:val="18"/>
                <w:szCs w:val="18"/>
              </w:rPr>
              <w:t>)</w:t>
            </w:r>
            <w:r w:rsidRPr="00F279C8">
              <w:rPr>
                <w:b/>
                <w:sz w:val="18"/>
                <w:szCs w:val="18"/>
              </w:rPr>
              <w:t xml:space="preserve"> și monitorizare</w:t>
            </w:r>
            <w:r>
              <w:rPr>
                <w:b/>
                <w:sz w:val="18"/>
                <w:szCs w:val="18"/>
              </w:rPr>
              <w:t>/</w:t>
            </w:r>
            <w:r w:rsidRPr="00F279C8">
              <w:rPr>
                <w:b/>
                <w:sz w:val="18"/>
                <w:szCs w:val="18"/>
              </w:rPr>
              <w:t xml:space="preserve"> supervizare ale sistemului de achiziţii publice</w:t>
            </w:r>
          </w:p>
        </w:tc>
      </w:tr>
      <w:tr w:rsidR="009A48A9" w:rsidTr="003C294B">
        <w:tc>
          <w:tcPr>
            <w:tcW w:w="534" w:type="dxa"/>
            <w:vAlign w:val="center"/>
          </w:tcPr>
          <w:p w:rsidR="009A48A9" w:rsidRPr="00605E8F" w:rsidRDefault="009A48A9" w:rsidP="009A48A9">
            <w:pPr>
              <w:pStyle w:val="ListParagraph"/>
              <w:numPr>
                <w:ilvl w:val="0"/>
                <w:numId w:val="8"/>
              </w:numPr>
              <w:ind w:left="426" w:hanging="284"/>
              <w:rPr>
                <w:rFonts w:ascii="Calibri" w:hAnsi="Calibri" w:cs="Calibri"/>
                <w:lang w:val="ro-RO"/>
              </w:rPr>
            </w:pPr>
          </w:p>
        </w:tc>
        <w:tc>
          <w:tcPr>
            <w:tcW w:w="3827" w:type="dxa"/>
            <w:vAlign w:val="center"/>
          </w:tcPr>
          <w:p w:rsidR="009A48A9" w:rsidRPr="0001186B" w:rsidRDefault="009A48A9" w:rsidP="00AC594C">
            <w:pPr>
              <w:rPr>
                <w:rFonts w:ascii="Calibri" w:hAnsi="Calibri" w:cs="Calibri"/>
              </w:rPr>
            </w:pPr>
            <w:r w:rsidRPr="0001186B">
              <w:rPr>
                <w:rFonts w:ascii="Calibri" w:hAnsi="Calibri" w:cs="Calibri"/>
              </w:rPr>
              <w:t>Ministerul Finanțelor Publice</w:t>
            </w:r>
          </w:p>
          <w:p w:rsidR="009A48A9" w:rsidRPr="006F0F94" w:rsidRDefault="009A48A9" w:rsidP="00AC594C">
            <w:pPr>
              <w:rPr>
                <w:rFonts w:ascii="Calibri" w:hAnsi="Calibri" w:cs="Calibri"/>
                <w:b/>
              </w:rPr>
            </w:pPr>
            <w:r w:rsidRPr="001745BF">
              <w:rPr>
                <w:rFonts w:ascii="Calibri" w:hAnsi="Calibri" w:cs="Calibri"/>
                <w:b/>
              </w:rPr>
              <w:t xml:space="preserve">Agenția Națională pentru Achiziții </w:t>
            </w:r>
            <w:r w:rsidRPr="001745BF">
              <w:rPr>
                <w:rFonts w:ascii="Calibri" w:hAnsi="Calibri" w:cs="Calibri"/>
                <w:b/>
              </w:rPr>
              <w:lastRenderedPageBreak/>
              <w:t>Publice</w:t>
            </w:r>
          </w:p>
        </w:tc>
        <w:tc>
          <w:tcPr>
            <w:tcW w:w="6379" w:type="dxa"/>
            <w:vAlign w:val="center"/>
          </w:tcPr>
          <w:p w:rsidR="009A48A9" w:rsidRPr="006F0F94" w:rsidRDefault="009A48A9" w:rsidP="00AC594C">
            <w:pPr>
              <w:spacing w:beforeLines="20" w:before="48" w:afterLines="20" w:after="48"/>
              <w:rPr>
                <w:b/>
                <w:sz w:val="18"/>
                <w:szCs w:val="18"/>
              </w:rPr>
            </w:pPr>
          </w:p>
        </w:tc>
        <w:tc>
          <w:tcPr>
            <w:tcW w:w="4819" w:type="dxa"/>
            <w:vAlign w:val="center"/>
          </w:tcPr>
          <w:p w:rsidR="009A48A9" w:rsidRDefault="009A48A9" w:rsidP="00AC594C">
            <w:pPr>
              <w:spacing w:beforeLines="20" w:before="48" w:afterLines="20" w:after="48"/>
            </w:pPr>
            <w:r w:rsidRPr="005E596A">
              <w:rPr>
                <w:b/>
                <w:sz w:val="18"/>
                <w:szCs w:val="18"/>
              </w:rPr>
              <w:t xml:space="preserve">ANAP are în responsabilitate majoritatea măsurilor din planul de acțiune pentru îndeplinirea condiționalității ex-ante privind achizițiile publice (aplicabilă tuturor </w:t>
            </w:r>
            <w:r w:rsidRPr="005E596A">
              <w:rPr>
                <w:b/>
                <w:sz w:val="18"/>
                <w:szCs w:val="18"/>
              </w:rPr>
              <w:lastRenderedPageBreak/>
              <w:t>programelor operaționale), precum și responsabilitatea implementării întregului plan de acțiune de implementare a Strategiei Naționale privind achizițiile publice (</w:t>
            </w:r>
            <w:r>
              <w:rPr>
                <w:b/>
                <w:sz w:val="18"/>
                <w:szCs w:val="18"/>
              </w:rPr>
              <w:t xml:space="preserve">36 </w:t>
            </w:r>
            <w:r w:rsidRPr="005E596A">
              <w:rPr>
                <w:b/>
                <w:sz w:val="18"/>
                <w:szCs w:val="18"/>
              </w:rPr>
              <w:t>masuri asumate pentru</w:t>
            </w:r>
            <w:r>
              <w:rPr>
                <w:b/>
                <w:sz w:val="18"/>
                <w:szCs w:val="18"/>
              </w:rPr>
              <w:t xml:space="preserve"> capitolele 1-5 ale Strategiei)</w:t>
            </w:r>
          </w:p>
        </w:tc>
      </w:tr>
      <w:tr w:rsidR="009A48A9" w:rsidTr="003C294B">
        <w:tc>
          <w:tcPr>
            <w:tcW w:w="534" w:type="dxa"/>
            <w:vAlign w:val="center"/>
          </w:tcPr>
          <w:p w:rsidR="009A48A9" w:rsidRPr="00605E8F" w:rsidRDefault="009A48A9" w:rsidP="009A48A9">
            <w:pPr>
              <w:pStyle w:val="ListParagraph"/>
              <w:numPr>
                <w:ilvl w:val="0"/>
                <w:numId w:val="8"/>
              </w:numPr>
              <w:ind w:left="426" w:hanging="284"/>
              <w:rPr>
                <w:rFonts w:ascii="Calibri" w:hAnsi="Calibri" w:cs="Calibri"/>
                <w:b/>
                <w:lang w:val="fr-FR"/>
              </w:rPr>
            </w:pPr>
          </w:p>
        </w:tc>
        <w:tc>
          <w:tcPr>
            <w:tcW w:w="3827" w:type="dxa"/>
            <w:vAlign w:val="center"/>
          </w:tcPr>
          <w:p w:rsidR="009A48A9" w:rsidRPr="006F0F94" w:rsidRDefault="009A48A9" w:rsidP="00AC594C">
            <w:pPr>
              <w:rPr>
                <w:rFonts w:ascii="Calibri" w:hAnsi="Calibri" w:cs="Calibri"/>
                <w:b/>
              </w:rPr>
            </w:pPr>
            <w:r w:rsidRPr="00990191">
              <w:rPr>
                <w:rFonts w:ascii="Calibri" w:hAnsi="Calibri" w:cs="Calibri"/>
                <w:b/>
              </w:rPr>
              <w:t>Agenţia Naţională de Integritate</w:t>
            </w:r>
          </w:p>
        </w:tc>
        <w:tc>
          <w:tcPr>
            <w:tcW w:w="6379" w:type="dxa"/>
            <w:vAlign w:val="center"/>
          </w:tcPr>
          <w:p w:rsidR="009A48A9" w:rsidRPr="006F0F94" w:rsidRDefault="009A48A9" w:rsidP="00AC594C">
            <w:pPr>
              <w:spacing w:beforeLines="20" w:before="48" w:afterLines="20" w:after="48"/>
              <w:rPr>
                <w:b/>
                <w:sz w:val="18"/>
                <w:szCs w:val="18"/>
              </w:rPr>
            </w:pPr>
          </w:p>
        </w:tc>
        <w:tc>
          <w:tcPr>
            <w:tcW w:w="4819" w:type="dxa"/>
            <w:vAlign w:val="center"/>
          </w:tcPr>
          <w:p w:rsidR="009A48A9" w:rsidRDefault="009A48A9" w:rsidP="00AC594C">
            <w:pPr>
              <w:spacing w:beforeLines="20" w:before="48" w:afterLines="20" w:after="48"/>
            </w:pPr>
            <w:r>
              <w:rPr>
                <w:b/>
                <w:sz w:val="18"/>
                <w:szCs w:val="18"/>
              </w:rPr>
              <w:t>2</w:t>
            </w:r>
            <w:r w:rsidRPr="00990191">
              <w:rPr>
                <w:b/>
                <w:sz w:val="18"/>
                <w:szCs w:val="18"/>
              </w:rPr>
              <w:t xml:space="preserve"> măsuri referitoare</w:t>
            </w:r>
            <w:r w:rsidRPr="005E596A">
              <w:rPr>
                <w:b/>
                <w:sz w:val="18"/>
                <w:szCs w:val="18"/>
              </w:rPr>
              <w:t xml:space="preserve"> </w:t>
            </w:r>
            <w:r>
              <w:rPr>
                <w:b/>
                <w:sz w:val="18"/>
                <w:szCs w:val="18"/>
              </w:rPr>
              <w:t xml:space="preserve">la cap. 1 al </w:t>
            </w:r>
            <w:r w:rsidRPr="005E596A">
              <w:rPr>
                <w:b/>
                <w:sz w:val="18"/>
                <w:szCs w:val="18"/>
              </w:rPr>
              <w:t xml:space="preserve">Strategiei Naționale privind achizițiile publice </w:t>
            </w:r>
          </w:p>
        </w:tc>
      </w:tr>
      <w:tr w:rsidR="009A48A9" w:rsidTr="003C294B">
        <w:tc>
          <w:tcPr>
            <w:tcW w:w="534" w:type="dxa"/>
            <w:vAlign w:val="center"/>
          </w:tcPr>
          <w:p w:rsidR="009A48A9" w:rsidRPr="009A48A9" w:rsidRDefault="009A48A9" w:rsidP="009A48A9">
            <w:pPr>
              <w:pStyle w:val="ListParagraph"/>
              <w:numPr>
                <w:ilvl w:val="0"/>
                <w:numId w:val="8"/>
              </w:numPr>
              <w:ind w:left="426" w:hanging="284"/>
              <w:rPr>
                <w:rFonts w:ascii="Calibri" w:hAnsi="Calibri" w:cs="Calibri"/>
                <w:b/>
              </w:rPr>
            </w:pPr>
          </w:p>
        </w:tc>
        <w:tc>
          <w:tcPr>
            <w:tcW w:w="3827" w:type="dxa"/>
            <w:vAlign w:val="center"/>
          </w:tcPr>
          <w:p w:rsidR="009A48A9" w:rsidRPr="00990191" w:rsidRDefault="009A48A9" w:rsidP="00AC594C">
            <w:pPr>
              <w:rPr>
                <w:rFonts w:ascii="Calibri" w:hAnsi="Calibri" w:cs="Calibri"/>
                <w:b/>
              </w:rPr>
            </w:pPr>
            <w:r>
              <w:rPr>
                <w:rFonts w:ascii="Calibri" w:hAnsi="Calibri" w:cs="Calibri"/>
                <w:b/>
              </w:rPr>
              <w:t>Curtea de Conturi a României</w:t>
            </w:r>
          </w:p>
        </w:tc>
        <w:tc>
          <w:tcPr>
            <w:tcW w:w="6379" w:type="dxa"/>
            <w:vAlign w:val="center"/>
          </w:tcPr>
          <w:p w:rsidR="009A48A9" w:rsidRPr="006F0F94" w:rsidRDefault="009A48A9" w:rsidP="00AC594C">
            <w:pPr>
              <w:spacing w:beforeLines="20" w:before="48" w:afterLines="20" w:after="48"/>
              <w:rPr>
                <w:b/>
                <w:sz w:val="18"/>
                <w:szCs w:val="18"/>
              </w:rPr>
            </w:pPr>
          </w:p>
        </w:tc>
        <w:tc>
          <w:tcPr>
            <w:tcW w:w="4819" w:type="dxa"/>
            <w:vAlign w:val="center"/>
          </w:tcPr>
          <w:p w:rsidR="009A48A9" w:rsidRDefault="009A48A9" w:rsidP="00AC594C">
            <w:pPr>
              <w:spacing w:beforeLines="20" w:before="48" w:afterLines="20" w:after="48"/>
              <w:rPr>
                <w:b/>
                <w:sz w:val="18"/>
                <w:szCs w:val="18"/>
              </w:rPr>
            </w:pPr>
            <w:r>
              <w:rPr>
                <w:b/>
                <w:sz w:val="18"/>
                <w:szCs w:val="18"/>
              </w:rPr>
              <w:t>6</w:t>
            </w:r>
            <w:r w:rsidRPr="00990191">
              <w:rPr>
                <w:b/>
                <w:sz w:val="18"/>
                <w:szCs w:val="18"/>
              </w:rPr>
              <w:t xml:space="preserve"> măsuri referitoare la cap. </w:t>
            </w:r>
            <w:r>
              <w:rPr>
                <w:b/>
                <w:sz w:val="18"/>
                <w:szCs w:val="18"/>
              </w:rPr>
              <w:t>3</w:t>
            </w:r>
            <w:r w:rsidRPr="00990191">
              <w:rPr>
                <w:b/>
                <w:sz w:val="18"/>
                <w:szCs w:val="18"/>
              </w:rPr>
              <w:t xml:space="preserve"> al Strategiei Naționale privind achizițiile publice </w:t>
            </w:r>
            <w:r>
              <w:rPr>
                <w:b/>
                <w:sz w:val="18"/>
                <w:szCs w:val="18"/>
              </w:rPr>
              <w:t>(</w:t>
            </w:r>
            <w:r w:rsidRPr="00990191">
              <w:rPr>
                <w:b/>
                <w:sz w:val="18"/>
                <w:szCs w:val="18"/>
              </w:rPr>
              <w:t>Regularitatea și calitatea procesului de achiziții publice</w:t>
            </w:r>
            <w:r>
              <w:rPr>
                <w:b/>
                <w:sz w:val="18"/>
                <w:szCs w:val="18"/>
              </w:rPr>
              <w:t>)</w:t>
            </w:r>
          </w:p>
        </w:tc>
      </w:tr>
      <w:tr w:rsidR="009A48A9" w:rsidTr="003C294B">
        <w:tc>
          <w:tcPr>
            <w:tcW w:w="534" w:type="dxa"/>
            <w:vAlign w:val="center"/>
          </w:tcPr>
          <w:p w:rsidR="009A48A9" w:rsidRPr="009A48A9" w:rsidRDefault="009A48A9" w:rsidP="009A48A9">
            <w:pPr>
              <w:pStyle w:val="ListParagraph"/>
              <w:numPr>
                <w:ilvl w:val="0"/>
                <w:numId w:val="8"/>
              </w:numPr>
              <w:ind w:left="426" w:hanging="284"/>
              <w:rPr>
                <w:rFonts w:ascii="Calibri" w:hAnsi="Calibri" w:cs="Calibri"/>
                <w:b/>
              </w:rPr>
            </w:pPr>
          </w:p>
        </w:tc>
        <w:tc>
          <w:tcPr>
            <w:tcW w:w="3827" w:type="dxa"/>
            <w:vAlign w:val="center"/>
          </w:tcPr>
          <w:p w:rsidR="009A48A9" w:rsidRPr="00990191" w:rsidRDefault="009A48A9" w:rsidP="00AC594C">
            <w:pPr>
              <w:rPr>
                <w:rFonts w:ascii="Calibri" w:hAnsi="Calibri" w:cs="Calibri"/>
                <w:b/>
              </w:rPr>
            </w:pPr>
            <w:r w:rsidRPr="00E10FDC">
              <w:rPr>
                <w:rFonts w:ascii="Calibri" w:hAnsi="Calibri" w:cs="Calibri"/>
                <w:b/>
              </w:rPr>
              <w:t>Consiliul Naţional de Soluţionare a Contestaţiilor</w:t>
            </w:r>
          </w:p>
        </w:tc>
        <w:tc>
          <w:tcPr>
            <w:tcW w:w="6379" w:type="dxa"/>
            <w:vAlign w:val="center"/>
          </w:tcPr>
          <w:p w:rsidR="009A48A9" w:rsidRPr="006F0F94" w:rsidRDefault="009A48A9" w:rsidP="00AC594C">
            <w:pPr>
              <w:spacing w:beforeLines="20" w:before="48" w:afterLines="20" w:after="48"/>
              <w:rPr>
                <w:b/>
                <w:sz w:val="18"/>
                <w:szCs w:val="18"/>
              </w:rPr>
            </w:pPr>
          </w:p>
        </w:tc>
        <w:tc>
          <w:tcPr>
            <w:tcW w:w="4819" w:type="dxa"/>
            <w:vAlign w:val="center"/>
          </w:tcPr>
          <w:p w:rsidR="009A48A9" w:rsidRDefault="009A48A9" w:rsidP="00AC594C">
            <w:pPr>
              <w:spacing w:beforeLines="20" w:before="48" w:afterLines="20" w:after="48"/>
              <w:rPr>
                <w:b/>
                <w:sz w:val="18"/>
                <w:szCs w:val="18"/>
              </w:rPr>
            </w:pPr>
            <w:r>
              <w:rPr>
                <w:b/>
                <w:sz w:val="18"/>
                <w:szCs w:val="18"/>
              </w:rPr>
              <w:t xml:space="preserve">4 </w:t>
            </w:r>
            <w:r w:rsidRPr="00E10FDC">
              <w:rPr>
                <w:b/>
                <w:sz w:val="18"/>
                <w:szCs w:val="18"/>
              </w:rPr>
              <w:t xml:space="preserve">măsuri referitoare la cap. </w:t>
            </w:r>
            <w:r>
              <w:rPr>
                <w:b/>
                <w:sz w:val="18"/>
                <w:szCs w:val="18"/>
              </w:rPr>
              <w:t>1 si 2</w:t>
            </w:r>
            <w:r w:rsidRPr="00E10FDC">
              <w:rPr>
                <w:b/>
                <w:sz w:val="18"/>
                <w:szCs w:val="18"/>
              </w:rPr>
              <w:t xml:space="preserve"> al Strategiei Naționale privind achizițiile publice </w:t>
            </w:r>
          </w:p>
        </w:tc>
      </w:tr>
      <w:tr w:rsidR="009A48A9" w:rsidTr="003C294B">
        <w:tc>
          <w:tcPr>
            <w:tcW w:w="534" w:type="dxa"/>
            <w:vAlign w:val="center"/>
          </w:tcPr>
          <w:p w:rsidR="009A48A9" w:rsidRPr="009A48A9" w:rsidRDefault="009A48A9" w:rsidP="009A48A9">
            <w:pPr>
              <w:pStyle w:val="ListParagraph"/>
              <w:numPr>
                <w:ilvl w:val="0"/>
                <w:numId w:val="8"/>
              </w:numPr>
              <w:ind w:left="426" w:hanging="284"/>
              <w:rPr>
                <w:rFonts w:ascii="Calibri" w:hAnsi="Calibri" w:cs="Calibri"/>
                <w:b/>
              </w:rPr>
            </w:pPr>
          </w:p>
        </w:tc>
        <w:tc>
          <w:tcPr>
            <w:tcW w:w="3827" w:type="dxa"/>
            <w:vAlign w:val="center"/>
          </w:tcPr>
          <w:p w:rsidR="009A48A9" w:rsidRPr="00E10FDC" w:rsidRDefault="009A48A9" w:rsidP="00AC594C">
            <w:pPr>
              <w:rPr>
                <w:rFonts w:ascii="Calibri" w:hAnsi="Calibri" w:cs="Calibri"/>
                <w:b/>
              </w:rPr>
            </w:pPr>
            <w:r w:rsidRPr="004B182D">
              <w:rPr>
                <w:rFonts w:ascii="Calibri" w:hAnsi="Calibri" w:cs="Calibri"/>
                <w:b/>
              </w:rPr>
              <w:t>Consiliul Superior al Magistraturii</w:t>
            </w:r>
          </w:p>
        </w:tc>
        <w:tc>
          <w:tcPr>
            <w:tcW w:w="6379" w:type="dxa"/>
            <w:vAlign w:val="center"/>
          </w:tcPr>
          <w:p w:rsidR="009A48A9" w:rsidRPr="006F0F94" w:rsidRDefault="009A48A9" w:rsidP="00AC594C">
            <w:pPr>
              <w:spacing w:beforeLines="20" w:before="48" w:afterLines="20" w:after="48"/>
              <w:rPr>
                <w:b/>
                <w:sz w:val="18"/>
                <w:szCs w:val="18"/>
              </w:rPr>
            </w:pPr>
          </w:p>
        </w:tc>
        <w:tc>
          <w:tcPr>
            <w:tcW w:w="4819" w:type="dxa"/>
            <w:vAlign w:val="center"/>
          </w:tcPr>
          <w:p w:rsidR="009A48A9" w:rsidRDefault="009A48A9" w:rsidP="00696CBE">
            <w:pPr>
              <w:spacing w:beforeLines="20" w:before="48" w:afterLines="20" w:after="48"/>
              <w:rPr>
                <w:b/>
                <w:sz w:val="18"/>
                <w:szCs w:val="18"/>
              </w:rPr>
            </w:pPr>
            <w:r>
              <w:rPr>
                <w:b/>
                <w:sz w:val="18"/>
                <w:szCs w:val="18"/>
              </w:rPr>
              <w:t>3 m</w:t>
            </w:r>
            <w:r w:rsidRPr="00696CBE">
              <w:rPr>
                <w:b/>
                <w:sz w:val="18"/>
                <w:szCs w:val="18"/>
              </w:rPr>
              <w:t>asuri pentru implementarea Capitolului 2 al Strategiei Naționale privind achizițiile publice (Capitolul 2: Coerența generală și eficiența cadrului instituțional)</w:t>
            </w:r>
          </w:p>
        </w:tc>
      </w:tr>
      <w:tr w:rsidR="009A48A9" w:rsidTr="003C294B">
        <w:tc>
          <w:tcPr>
            <w:tcW w:w="534" w:type="dxa"/>
            <w:vAlign w:val="center"/>
          </w:tcPr>
          <w:p w:rsidR="009A48A9" w:rsidRPr="00605E8F" w:rsidRDefault="009A48A9" w:rsidP="009A48A9">
            <w:pPr>
              <w:pStyle w:val="ListParagraph"/>
              <w:numPr>
                <w:ilvl w:val="0"/>
                <w:numId w:val="8"/>
              </w:numPr>
              <w:ind w:left="426" w:hanging="284"/>
              <w:rPr>
                <w:rFonts w:ascii="Calibri" w:hAnsi="Calibri" w:cs="Calibri"/>
                <w:b/>
                <w:lang w:val="ro-RO"/>
              </w:rPr>
            </w:pPr>
          </w:p>
        </w:tc>
        <w:tc>
          <w:tcPr>
            <w:tcW w:w="3827" w:type="dxa"/>
            <w:vAlign w:val="center"/>
          </w:tcPr>
          <w:p w:rsidR="009A48A9" w:rsidRPr="004B182D" w:rsidRDefault="009A48A9" w:rsidP="00AC594C">
            <w:pPr>
              <w:rPr>
                <w:rFonts w:ascii="Calibri" w:hAnsi="Calibri" w:cs="Calibri"/>
                <w:b/>
              </w:rPr>
            </w:pPr>
            <w:r w:rsidRPr="00030ECF">
              <w:rPr>
                <w:rFonts w:ascii="Calibri" w:hAnsi="Calibri" w:cs="Calibri"/>
                <w:b/>
              </w:rPr>
              <w:t>Secretariatul General al Guvernului</w:t>
            </w:r>
          </w:p>
        </w:tc>
        <w:tc>
          <w:tcPr>
            <w:tcW w:w="6379" w:type="dxa"/>
            <w:vAlign w:val="center"/>
          </w:tcPr>
          <w:p w:rsidR="009A48A9" w:rsidRPr="006F0F94" w:rsidRDefault="009A48A9" w:rsidP="00AC594C">
            <w:pPr>
              <w:spacing w:beforeLines="20" w:before="48" w:afterLines="20" w:after="48"/>
              <w:rPr>
                <w:b/>
                <w:sz w:val="18"/>
                <w:szCs w:val="18"/>
              </w:rPr>
            </w:pPr>
          </w:p>
        </w:tc>
        <w:tc>
          <w:tcPr>
            <w:tcW w:w="4819" w:type="dxa"/>
            <w:vAlign w:val="center"/>
          </w:tcPr>
          <w:p w:rsidR="009A48A9" w:rsidRDefault="009A48A9" w:rsidP="00696CBE">
            <w:pPr>
              <w:spacing w:beforeLines="20" w:before="48" w:afterLines="20" w:after="48"/>
              <w:rPr>
                <w:b/>
                <w:sz w:val="18"/>
                <w:szCs w:val="18"/>
              </w:rPr>
            </w:pPr>
            <w:r>
              <w:rPr>
                <w:b/>
                <w:sz w:val="18"/>
                <w:szCs w:val="18"/>
              </w:rPr>
              <w:t>4 m</w:t>
            </w:r>
            <w:r w:rsidRPr="00696CBE">
              <w:rPr>
                <w:b/>
                <w:sz w:val="18"/>
                <w:szCs w:val="18"/>
              </w:rPr>
              <w:t>asuri pentru implementarea Capitolului 2 al Strategiei Naționale privind achizițiile publice (Capitolul 2: Coerența generală și eficiența cadrului instituțional)</w:t>
            </w:r>
          </w:p>
        </w:tc>
      </w:tr>
      <w:tr w:rsidR="009A48A9" w:rsidTr="003C294B">
        <w:tc>
          <w:tcPr>
            <w:tcW w:w="534" w:type="dxa"/>
            <w:vAlign w:val="center"/>
          </w:tcPr>
          <w:p w:rsidR="009A48A9" w:rsidRPr="00605E8F" w:rsidRDefault="009A48A9" w:rsidP="009A48A9">
            <w:pPr>
              <w:pStyle w:val="ListParagraph"/>
              <w:numPr>
                <w:ilvl w:val="0"/>
                <w:numId w:val="8"/>
              </w:numPr>
              <w:ind w:left="426" w:hanging="284"/>
              <w:rPr>
                <w:rFonts w:ascii="Calibri" w:hAnsi="Calibri" w:cs="Calibri"/>
                <w:b/>
                <w:lang w:val="ro-RO"/>
              </w:rPr>
            </w:pPr>
          </w:p>
        </w:tc>
        <w:tc>
          <w:tcPr>
            <w:tcW w:w="3827" w:type="dxa"/>
            <w:vAlign w:val="center"/>
          </w:tcPr>
          <w:p w:rsidR="009A48A9" w:rsidRPr="00030ECF" w:rsidRDefault="009A48A9" w:rsidP="00AC594C">
            <w:pPr>
              <w:rPr>
                <w:rFonts w:ascii="Calibri" w:hAnsi="Calibri" w:cs="Calibri"/>
                <w:b/>
              </w:rPr>
            </w:pPr>
            <w:r w:rsidRPr="003A7A03">
              <w:rPr>
                <w:rFonts w:ascii="Calibri" w:hAnsi="Calibri" w:cs="Calibri"/>
                <w:b/>
              </w:rPr>
              <w:t>Ministerul Finanţelor Publice</w:t>
            </w:r>
          </w:p>
        </w:tc>
        <w:tc>
          <w:tcPr>
            <w:tcW w:w="6379" w:type="dxa"/>
            <w:vAlign w:val="center"/>
          </w:tcPr>
          <w:p w:rsidR="009A48A9" w:rsidRPr="006F0F94" w:rsidRDefault="009A48A9" w:rsidP="00AC594C">
            <w:pPr>
              <w:spacing w:beforeLines="20" w:before="48" w:afterLines="20" w:after="48"/>
              <w:rPr>
                <w:b/>
                <w:sz w:val="18"/>
                <w:szCs w:val="18"/>
              </w:rPr>
            </w:pPr>
          </w:p>
        </w:tc>
        <w:tc>
          <w:tcPr>
            <w:tcW w:w="4819" w:type="dxa"/>
            <w:vAlign w:val="center"/>
          </w:tcPr>
          <w:p w:rsidR="009A48A9" w:rsidRDefault="009A48A9" w:rsidP="003A7A03">
            <w:pPr>
              <w:spacing w:beforeLines="20" w:before="48" w:afterLines="20" w:after="48"/>
              <w:rPr>
                <w:b/>
                <w:sz w:val="18"/>
                <w:szCs w:val="18"/>
              </w:rPr>
            </w:pPr>
            <w:r>
              <w:rPr>
                <w:b/>
                <w:sz w:val="18"/>
                <w:szCs w:val="18"/>
              </w:rPr>
              <w:t>25 m</w:t>
            </w:r>
            <w:r w:rsidRPr="003A7A03">
              <w:rPr>
                <w:b/>
                <w:sz w:val="18"/>
                <w:szCs w:val="18"/>
              </w:rPr>
              <w:t>asuri pentru implementarea capitolelor 2, 3 si 4 ale Strategiei Naționale privind achizițiile publice</w:t>
            </w:r>
          </w:p>
        </w:tc>
      </w:tr>
      <w:tr w:rsidR="00605E8F" w:rsidTr="00605E8F">
        <w:tc>
          <w:tcPr>
            <w:tcW w:w="534" w:type="dxa"/>
            <w:vMerge w:val="restart"/>
          </w:tcPr>
          <w:p w:rsidR="00605E8F" w:rsidRPr="00605E8F" w:rsidRDefault="00605E8F" w:rsidP="00605E8F">
            <w:pPr>
              <w:pStyle w:val="ListParagraph"/>
              <w:numPr>
                <w:ilvl w:val="0"/>
                <w:numId w:val="8"/>
              </w:numPr>
              <w:ind w:left="426" w:hanging="284"/>
              <w:rPr>
                <w:lang w:val="fr-FR"/>
              </w:rPr>
            </w:pPr>
          </w:p>
        </w:tc>
        <w:tc>
          <w:tcPr>
            <w:tcW w:w="3827" w:type="dxa"/>
            <w:vMerge w:val="restart"/>
          </w:tcPr>
          <w:p w:rsidR="00605E8F" w:rsidRDefault="00605E8F" w:rsidP="00605E8F">
            <w:r w:rsidRPr="00605E8F">
              <w:rPr>
                <w:rFonts w:ascii="Calibri" w:hAnsi="Calibri" w:cs="Calibri"/>
                <w:b/>
              </w:rPr>
              <w:t xml:space="preserve">Ministerul Educaţiei Naţionale şi Cercetării Ştiinţifice - </w:t>
            </w:r>
            <w:r w:rsidRPr="00605E8F">
              <w:rPr>
                <w:rFonts w:ascii="Calibri" w:hAnsi="Calibri" w:cs="Calibri"/>
                <w:b/>
              </w:rPr>
              <w:t>EDUCAȚIE</w:t>
            </w:r>
          </w:p>
        </w:tc>
        <w:tc>
          <w:tcPr>
            <w:tcW w:w="6379" w:type="dxa"/>
          </w:tcPr>
          <w:p w:rsidR="00605E8F" w:rsidRPr="0063491A" w:rsidRDefault="00605E8F" w:rsidP="00552282">
            <w:pPr>
              <w:spacing w:beforeLines="20" w:before="48" w:afterLines="20" w:after="48"/>
              <w:rPr>
                <w:b/>
                <w:sz w:val="18"/>
                <w:szCs w:val="18"/>
              </w:rPr>
            </w:pPr>
            <w:r w:rsidRPr="0063491A">
              <w:rPr>
                <w:b/>
                <w:sz w:val="18"/>
                <w:szCs w:val="18"/>
              </w:rPr>
              <w:t>10.2. 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4819" w:type="dxa"/>
          </w:tcPr>
          <w:p w:rsidR="00605E8F" w:rsidRDefault="00605E8F" w:rsidP="00552282"/>
        </w:tc>
      </w:tr>
      <w:tr w:rsidR="00605E8F" w:rsidTr="00605E8F">
        <w:tc>
          <w:tcPr>
            <w:tcW w:w="534" w:type="dxa"/>
            <w:vMerge/>
          </w:tcPr>
          <w:p w:rsidR="00605E8F" w:rsidRPr="00605E8F" w:rsidRDefault="00605E8F" w:rsidP="00605E8F">
            <w:pPr>
              <w:pStyle w:val="ListParagraph"/>
              <w:numPr>
                <w:ilvl w:val="0"/>
                <w:numId w:val="9"/>
              </w:numPr>
              <w:ind w:left="426" w:hanging="284"/>
              <w:rPr>
                <w:lang w:val="ro-RO"/>
              </w:rPr>
            </w:pPr>
          </w:p>
        </w:tc>
        <w:tc>
          <w:tcPr>
            <w:tcW w:w="3827" w:type="dxa"/>
            <w:vMerge/>
          </w:tcPr>
          <w:p w:rsidR="00605E8F" w:rsidRPr="00490C5C" w:rsidRDefault="00605E8F" w:rsidP="00552282"/>
        </w:tc>
        <w:tc>
          <w:tcPr>
            <w:tcW w:w="6379" w:type="dxa"/>
          </w:tcPr>
          <w:p w:rsidR="00605E8F" w:rsidRPr="0063491A" w:rsidRDefault="00605E8F" w:rsidP="00552282">
            <w:pPr>
              <w:spacing w:beforeLines="20" w:before="48" w:afterLines="20" w:after="48"/>
              <w:rPr>
                <w:b/>
                <w:sz w:val="18"/>
                <w:szCs w:val="18"/>
              </w:rPr>
            </w:pPr>
            <w:r w:rsidRPr="0063491A">
              <w:rPr>
                <w:b/>
                <w:sz w:val="18"/>
                <w:szCs w:val="18"/>
              </w:rPr>
              <w:t>10.3. Învățarea pe tot parcursul vieții: Existența unui cadru strategic de politică națională și/sau regională pentru învățarea pe tot parcursul vieții în limitele articolului 165 din TFUE.</w:t>
            </w:r>
          </w:p>
        </w:tc>
        <w:tc>
          <w:tcPr>
            <w:tcW w:w="4819" w:type="dxa"/>
          </w:tcPr>
          <w:p w:rsidR="00605E8F" w:rsidRDefault="00605E8F" w:rsidP="00552282"/>
        </w:tc>
      </w:tr>
      <w:tr w:rsidR="00605E8F" w:rsidTr="00605E8F">
        <w:tc>
          <w:tcPr>
            <w:tcW w:w="534" w:type="dxa"/>
            <w:vMerge/>
          </w:tcPr>
          <w:p w:rsidR="00605E8F" w:rsidRPr="00605E8F" w:rsidRDefault="00605E8F" w:rsidP="00605E8F">
            <w:pPr>
              <w:pStyle w:val="ListParagraph"/>
              <w:numPr>
                <w:ilvl w:val="0"/>
                <w:numId w:val="9"/>
              </w:numPr>
              <w:ind w:left="426" w:hanging="284"/>
              <w:rPr>
                <w:lang w:val="ro-RO"/>
              </w:rPr>
            </w:pPr>
          </w:p>
        </w:tc>
        <w:tc>
          <w:tcPr>
            <w:tcW w:w="3827" w:type="dxa"/>
            <w:vMerge/>
          </w:tcPr>
          <w:p w:rsidR="00605E8F" w:rsidRPr="00490C5C" w:rsidRDefault="00605E8F" w:rsidP="00552282"/>
        </w:tc>
        <w:tc>
          <w:tcPr>
            <w:tcW w:w="6379" w:type="dxa"/>
          </w:tcPr>
          <w:p w:rsidR="00605E8F" w:rsidRDefault="00605E8F" w:rsidP="00552282">
            <w:pPr>
              <w:spacing w:beforeLines="20" w:before="48" w:afterLines="20" w:after="48"/>
              <w:rPr>
                <w:rFonts w:eastAsia="Times New Roman" w:cs="Times New Roman"/>
                <w:b/>
                <w:color w:val="FF0000"/>
                <w:sz w:val="18"/>
                <w:szCs w:val="18"/>
              </w:rPr>
            </w:pPr>
            <w:r w:rsidRPr="00F279C8">
              <w:rPr>
                <w:b/>
                <w:sz w:val="18"/>
                <w:szCs w:val="18"/>
              </w:rPr>
              <w:t>10.4 Existența unui cadru strategic de politică națională sau regională pentru</w:t>
            </w:r>
            <w:r>
              <w:rPr>
                <w:sz w:val="18"/>
                <w:szCs w:val="18"/>
              </w:rPr>
              <w:t xml:space="preserve"> </w:t>
            </w:r>
            <w:r>
              <w:rPr>
                <w:b/>
                <w:sz w:val="18"/>
                <w:szCs w:val="18"/>
              </w:rPr>
              <w:t>creșterea calității și eficienței sistemelor de educație și formare profesională</w:t>
            </w:r>
            <w:r>
              <w:rPr>
                <w:sz w:val="18"/>
                <w:szCs w:val="18"/>
              </w:rPr>
              <w:t xml:space="preserve"> (EFP), în limitele articolului 165 din TFUE.</w:t>
            </w:r>
            <w:r>
              <w:rPr>
                <w:b/>
                <w:color w:val="FF0000"/>
                <w:sz w:val="18"/>
                <w:szCs w:val="18"/>
              </w:rPr>
              <w:t xml:space="preserve"> </w:t>
            </w:r>
          </w:p>
        </w:tc>
        <w:tc>
          <w:tcPr>
            <w:tcW w:w="4819" w:type="dxa"/>
          </w:tcPr>
          <w:p w:rsidR="00605E8F" w:rsidRDefault="00605E8F" w:rsidP="00552282"/>
        </w:tc>
      </w:tr>
      <w:tr w:rsidR="00605E8F" w:rsidTr="00605E8F">
        <w:tc>
          <w:tcPr>
            <w:tcW w:w="534" w:type="dxa"/>
            <w:vMerge/>
          </w:tcPr>
          <w:p w:rsidR="00605E8F" w:rsidRPr="00605E8F" w:rsidRDefault="00605E8F" w:rsidP="00605E8F">
            <w:pPr>
              <w:pStyle w:val="ListParagraph"/>
              <w:numPr>
                <w:ilvl w:val="0"/>
                <w:numId w:val="9"/>
              </w:numPr>
              <w:ind w:left="426" w:hanging="284"/>
              <w:rPr>
                <w:lang w:val="ro-RO"/>
              </w:rPr>
            </w:pPr>
          </w:p>
        </w:tc>
        <w:tc>
          <w:tcPr>
            <w:tcW w:w="3827" w:type="dxa"/>
            <w:vMerge/>
          </w:tcPr>
          <w:p w:rsidR="00605E8F" w:rsidRPr="00490C5C" w:rsidRDefault="00605E8F" w:rsidP="00552282"/>
        </w:tc>
        <w:tc>
          <w:tcPr>
            <w:tcW w:w="6379" w:type="dxa"/>
          </w:tcPr>
          <w:p w:rsidR="00605E8F" w:rsidRDefault="00605E8F" w:rsidP="00552282">
            <w:pPr>
              <w:spacing w:beforeLines="20" w:before="48" w:afterLines="20" w:after="48"/>
              <w:rPr>
                <w:b/>
                <w:sz w:val="18"/>
                <w:szCs w:val="18"/>
              </w:rPr>
            </w:pPr>
            <w:r w:rsidRPr="0063491A">
              <w:rPr>
                <w:b/>
                <w:sz w:val="18"/>
                <w:szCs w:val="18"/>
              </w:rPr>
              <w:t>Cartarea nevoilor de infrastructură educațională.</w:t>
            </w:r>
          </w:p>
          <w:p w:rsidR="00605E8F" w:rsidRPr="0063491A" w:rsidRDefault="00605E8F" w:rsidP="00552282">
            <w:pPr>
              <w:spacing w:beforeLines="20" w:before="48" w:afterLines="20" w:after="48"/>
              <w:rPr>
                <w:b/>
                <w:sz w:val="18"/>
                <w:szCs w:val="18"/>
              </w:rPr>
            </w:pPr>
            <w:r w:rsidRPr="0063491A">
              <w:rPr>
                <w:i/>
                <w:sz w:val="18"/>
                <w:szCs w:val="18"/>
              </w:rPr>
              <w:t xml:space="preserve">(**Nu este o condiționalitate în sensul Regulamentului 1303/2013 – </w:t>
            </w:r>
            <w:proofErr w:type="spellStart"/>
            <w:r w:rsidRPr="0063491A">
              <w:rPr>
                <w:i/>
                <w:sz w:val="18"/>
                <w:szCs w:val="18"/>
              </w:rPr>
              <w:t>conditie</w:t>
            </w:r>
            <w:proofErr w:type="spellEnd"/>
            <w:r w:rsidRPr="0063491A">
              <w:rPr>
                <w:i/>
                <w:sz w:val="18"/>
                <w:szCs w:val="18"/>
              </w:rPr>
              <w:t xml:space="preserve"> asumata de RO pentru finanțarea din POR</w:t>
            </w:r>
            <w:r>
              <w:rPr>
                <w:b/>
                <w:sz w:val="18"/>
                <w:szCs w:val="18"/>
              </w:rPr>
              <w:t>)</w:t>
            </w:r>
          </w:p>
        </w:tc>
        <w:tc>
          <w:tcPr>
            <w:tcW w:w="4819" w:type="dxa"/>
          </w:tcPr>
          <w:p w:rsidR="00605E8F" w:rsidRDefault="00605E8F" w:rsidP="00552282"/>
        </w:tc>
      </w:tr>
    </w:tbl>
    <w:p w:rsidR="00490C5C" w:rsidRDefault="00490C5C">
      <w:bookmarkStart w:id="0" w:name="_GoBack"/>
      <w:bookmarkEnd w:id="0"/>
    </w:p>
    <w:sectPr w:rsidR="00490C5C" w:rsidSect="003C294B">
      <w:headerReference w:type="default" r:id="rId8"/>
      <w:footerReference w:type="default" r:id="rId9"/>
      <w:pgSz w:w="16838" w:h="11906" w:orient="landscape"/>
      <w:pgMar w:top="848" w:right="1417" w:bottom="851" w:left="819" w:header="426" w:footer="4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E31" w:rsidRDefault="002B6E31" w:rsidP="00490C5C">
      <w:r>
        <w:separator/>
      </w:r>
    </w:p>
  </w:endnote>
  <w:endnote w:type="continuationSeparator" w:id="0">
    <w:p w:rsidR="002B6E31" w:rsidRDefault="002B6E31" w:rsidP="00490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5938774"/>
      <w:docPartObj>
        <w:docPartGallery w:val="Page Numbers (Bottom of Page)"/>
        <w:docPartUnique/>
      </w:docPartObj>
    </w:sdtPr>
    <w:sdtEndPr>
      <w:rPr>
        <w:noProof/>
      </w:rPr>
    </w:sdtEndPr>
    <w:sdtContent>
      <w:p w:rsidR="003C294B" w:rsidRDefault="003C294B">
        <w:pPr>
          <w:pStyle w:val="Footer"/>
          <w:jc w:val="right"/>
        </w:pPr>
        <w:r>
          <w:fldChar w:fldCharType="begin"/>
        </w:r>
        <w:r>
          <w:instrText xml:space="preserve"> PAGE   \* MERGEFORMAT </w:instrText>
        </w:r>
        <w:r>
          <w:fldChar w:fldCharType="separate"/>
        </w:r>
        <w:r w:rsidR="00605E8F">
          <w:rPr>
            <w:noProof/>
          </w:rPr>
          <w:t>3</w:t>
        </w:r>
        <w:r>
          <w:rPr>
            <w:noProof/>
          </w:rPr>
          <w:fldChar w:fldCharType="end"/>
        </w:r>
      </w:p>
    </w:sdtContent>
  </w:sdt>
  <w:p w:rsidR="003C294B" w:rsidRDefault="003C29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E31" w:rsidRDefault="002B6E31" w:rsidP="00490C5C">
      <w:r>
        <w:separator/>
      </w:r>
    </w:p>
  </w:footnote>
  <w:footnote w:type="continuationSeparator" w:id="0">
    <w:p w:rsidR="002B6E31" w:rsidRDefault="002B6E31" w:rsidP="00490C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C5C" w:rsidRDefault="00490C5C" w:rsidP="00490C5C">
    <w:pPr>
      <w:pStyle w:val="Header"/>
      <w:jc w:val="right"/>
    </w:pPr>
    <w:r>
      <w:t xml:space="preserve">Anexa 2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0E3"/>
    <w:multiLevelType w:val="hybridMultilevel"/>
    <w:tmpl w:val="40CE74BC"/>
    <w:lvl w:ilvl="0" w:tplc="1B1A0964">
      <w:start w:val="1"/>
      <w:numFmt w:val="decimal"/>
      <w:lvlText w:val="%1."/>
      <w:lvlJc w:val="center"/>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BC50552"/>
    <w:multiLevelType w:val="multilevel"/>
    <w:tmpl w:val="ACD28B9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23C74624"/>
    <w:multiLevelType w:val="hybridMultilevel"/>
    <w:tmpl w:val="A464238C"/>
    <w:lvl w:ilvl="0" w:tplc="0C184A6A">
      <w:start w:val="1"/>
      <w:numFmt w:val="decimal"/>
      <w:lvlText w:val="%1."/>
      <w:lvlJc w:val="center"/>
      <w:pPr>
        <w:ind w:left="36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84C27BE"/>
    <w:multiLevelType w:val="hybridMultilevel"/>
    <w:tmpl w:val="C150C4F6"/>
    <w:lvl w:ilvl="0" w:tplc="1B1A0964">
      <w:start w:val="1"/>
      <w:numFmt w:val="decimal"/>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4E4D23A1"/>
    <w:multiLevelType w:val="hybridMultilevel"/>
    <w:tmpl w:val="990A9BC4"/>
    <w:lvl w:ilvl="0" w:tplc="E5D0E2E8">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51241D3E"/>
    <w:multiLevelType w:val="multilevel"/>
    <w:tmpl w:val="15166E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66B158CF"/>
    <w:multiLevelType w:val="hybridMultilevel"/>
    <w:tmpl w:val="85F21414"/>
    <w:lvl w:ilvl="0" w:tplc="1B1A0964">
      <w:start w:val="1"/>
      <w:numFmt w:val="decimal"/>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6FF85B4E"/>
    <w:multiLevelType w:val="hybridMultilevel"/>
    <w:tmpl w:val="6EF8ADB4"/>
    <w:lvl w:ilvl="0" w:tplc="8412264A">
      <w:start w:val="11"/>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79312610"/>
    <w:multiLevelType w:val="multilevel"/>
    <w:tmpl w:val="BF92E5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7"/>
  </w:num>
  <w:num w:numId="3">
    <w:abstractNumId w:val="4"/>
  </w:num>
  <w:num w:numId="4">
    <w:abstractNumId w:val="1"/>
  </w:num>
  <w:num w:numId="5">
    <w:abstractNumId w:val="5"/>
  </w:num>
  <w:num w:numId="6">
    <w:abstractNumId w:val="3"/>
  </w:num>
  <w:num w:numId="7">
    <w:abstractNumId w:val="6"/>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C5C"/>
    <w:rsid w:val="0001186B"/>
    <w:rsid w:val="00030ECF"/>
    <w:rsid w:val="000D1CB2"/>
    <w:rsid w:val="001745BF"/>
    <w:rsid w:val="001C4390"/>
    <w:rsid w:val="002B6E31"/>
    <w:rsid w:val="00347903"/>
    <w:rsid w:val="003A7A03"/>
    <w:rsid w:val="003C294B"/>
    <w:rsid w:val="00490C5C"/>
    <w:rsid w:val="004B182D"/>
    <w:rsid w:val="005724D5"/>
    <w:rsid w:val="005E596A"/>
    <w:rsid w:val="00605E8F"/>
    <w:rsid w:val="0063491A"/>
    <w:rsid w:val="00696CBE"/>
    <w:rsid w:val="006C7327"/>
    <w:rsid w:val="006F0F94"/>
    <w:rsid w:val="00767811"/>
    <w:rsid w:val="00883C39"/>
    <w:rsid w:val="00990191"/>
    <w:rsid w:val="009A48A9"/>
    <w:rsid w:val="00A12A77"/>
    <w:rsid w:val="00A33378"/>
    <w:rsid w:val="00A86173"/>
    <w:rsid w:val="00AC594C"/>
    <w:rsid w:val="00B60592"/>
    <w:rsid w:val="00BC322E"/>
    <w:rsid w:val="00C14220"/>
    <w:rsid w:val="00C82AA2"/>
    <w:rsid w:val="00CA14CE"/>
    <w:rsid w:val="00CD25FD"/>
    <w:rsid w:val="00CE0A0A"/>
    <w:rsid w:val="00E10FDC"/>
    <w:rsid w:val="00F279C8"/>
    <w:rsid w:val="00F857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C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2,List_Paragraph,Multilevel para_II"/>
    <w:basedOn w:val="Normal"/>
    <w:link w:val="ListParagraphChar"/>
    <w:uiPriority w:val="34"/>
    <w:qFormat/>
    <w:rsid w:val="00490C5C"/>
    <w:pPr>
      <w:ind w:left="720"/>
      <w:contextualSpacing/>
      <w:jc w:val="left"/>
    </w:pPr>
    <w:rPr>
      <w:rFonts w:ascii="Times New Roman" w:eastAsia="Times New Roman" w:hAnsi="Times New Roman" w:cs="Times New Roman"/>
      <w:sz w:val="24"/>
      <w:szCs w:val="24"/>
      <w:lang w:val="en-GB"/>
    </w:rPr>
  </w:style>
  <w:style w:type="character" w:customStyle="1" w:styleId="ListParagraphChar">
    <w:name w:val="List Paragraph Char"/>
    <w:aliases w:val="body 2 Char,List_Paragraph Char,Multilevel para_II Char"/>
    <w:link w:val="ListParagraph"/>
    <w:uiPriority w:val="34"/>
    <w:locked/>
    <w:rsid w:val="00490C5C"/>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490C5C"/>
    <w:pPr>
      <w:tabs>
        <w:tab w:val="center" w:pos="4536"/>
        <w:tab w:val="right" w:pos="9072"/>
      </w:tabs>
    </w:pPr>
  </w:style>
  <w:style w:type="character" w:customStyle="1" w:styleId="HeaderChar">
    <w:name w:val="Header Char"/>
    <w:basedOn w:val="DefaultParagraphFont"/>
    <w:link w:val="Header"/>
    <w:uiPriority w:val="99"/>
    <w:rsid w:val="00490C5C"/>
  </w:style>
  <w:style w:type="paragraph" w:styleId="Footer">
    <w:name w:val="footer"/>
    <w:basedOn w:val="Normal"/>
    <w:link w:val="FooterChar"/>
    <w:uiPriority w:val="99"/>
    <w:unhideWhenUsed/>
    <w:rsid w:val="00490C5C"/>
    <w:pPr>
      <w:tabs>
        <w:tab w:val="center" w:pos="4536"/>
        <w:tab w:val="right" w:pos="9072"/>
      </w:tabs>
    </w:pPr>
  </w:style>
  <w:style w:type="character" w:customStyle="1" w:styleId="FooterChar">
    <w:name w:val="Footer Char"/>
    <w:basedOn w:val="DefaultParagraphFont"/>
    <w:link w:val="Footer"/>
    <w:uiPriority w:val="99"/>
    <w:rsid w:val="00490C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C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2,List_Paragraph,Multilevel para_II"/>
    <w:basedOn w:val="Normal"/>
    <w:link w:val="ListParagraphChar"/>
    <w:uiPriority w:val="34"/>
    <w:qFormat/>
    <w:rsid w:val="00490C5C"/>
    <w:pPr>
      <w:ind w:left="720"/>
      <w:contextualSpacing/>
      <w:jc w:val="left"/>
    </w:pPr>
    <w:rPr>
      <w:rFonts w:ascii="Times New Roman" w:eastAsia="Times New Roman" w:hAnsi="Times New Roman" w:cs="Times New Roman"/>
      <w:sz w:val="24"/>
      <w:szCs w:val="24"/>
      <w:lang w:val="en-GB"/>
    </w:rPr>
  </w:style>
  <w:style w:type="character" w:customStyle="1" w:styleId="ListParagraphChar">
    <w:name w:val="List Paragraph Char"/>
    <w:aliases w:val="body 2 Char,List_Paragraph Char,Multilevel para_II Char"/>
    <w:link w:val="ListParagraph"/>
    <w:uiPriority w:val="34"/>
    <w:locked/>
    <w:rsid w:val="00490C5C"/>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490C5C"/>
    <w:pPr>
      <w:tabs>
        <w:tab w:val="center" w:pos="4536"/>
        <w:tab w:val="right" w:pos="9072"/>
      </w:tabs>
    </w:pPr>
  </w:style>
  <w:style w:type="character" w:customStyle="1" w:styleId="HeaderChar">
    <w:name w:val="Header Char"/>
    <w:basedOn w:val="DefaultParagraphFont"/>
    <w:link w:val="Header"/>
    <w:uiPriority w:val="99"/>
    <w:rsid w:val="00490C5C"/>
  </w:style>
  <w:style w:type="paragraph" w:styleId="Footer">
    <w:name w:val="footer"/>
    <w:basedOn w:val="Normal"/>
    <w:link w:val="FooterChar"/>
    <w:uiPriority w:val="99"/>
    <w:unhideWhenUsed/>
    <w:rsid w:val="00490C5C"/>
    <w:pPr>
      <w:tabs>
        <w:tab w:val="center" w:pos="4536"/>
        <w:tab w:val="right" w:pos="9072"/>
      </w:tabs>
    </w:pPr>
  </w:style>
  <w:style w:type="character" w:customStyle="1" w:styleId="FooterChar">
    <w:name w:val="Footer Char"/>
    <w:basedOn w:val="DefaultParagraphFont"/>
    <w:link w:val="Footer"/>
    <w:uiPriority w:val="99"/>
    <w:rsid w:val="00490C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1183</Words>
  <Characters>6868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Ioana Maria Ciocoiu</cp:lastModifiedBy>
  <cp:revision>6</cp:revision>
  <cp:lastPrinted>2016-02-15T09:09:00Z</cp:lastPrinted>
  <dcterms:created xsi:type="dcterms:W3CDTF">2016-02-15T07:12:00Z</dcterms:created>
  <dcterms:modified xsi:type="dcterms:W3CDTF">2016-02-15T09:21:00Z</dcterms:modified>
</cp:coreProperties>
</file>